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9F3566" w:rsidP="00EA3E2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352F9"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7F222A" w:rsidP="006207CD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>Fecha: 31</w:t>
            </w:r>
            <w:r w:rsidR="00BA0A6F">
              <w:rPr>
                <w:rFonts w:ascii="Arial" w:hAnsi="Arial" w:cs="Arial"/>
                <w:b/>
                <w:lang w:val="es-PE" w:eastAsia="es-PE"/>
              </w:rPr>
              <w:t xml:space="preserve"> 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>de enero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B352F9" w:rsidRDefault="00B352F9" w:rsidP="00EA3E27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</w:t>
      </w:r>
    </w:p>
    <w:p w:rsidR="00BD71FD" w:rsidRDefault="00BD71FD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B352F9" w:rsidRDefault="00694665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DISPOSICIONES EN</w:t>
      </w:r>
      <w:r w:rsidR="00533245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6207CD">
        <w:rPr>
          <w:rFonts w:ascii="Arial" w:hAnsi="Arial" w:cs="Arial"/>
          <w:b/>
          <w:sz w:val="22"/>
          <w:szCs w:val="22"/>
          <w:lang w:val="es-PE"/>
        </w:rPr>
        <w:t>LOS GOBIERNOS REGIONALES</w:t>
      </w:r>
    </w:p>
    <w:p w:rsidR="00485429" w:rsidRPr="00485429" w:rsidRDefault="00485429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977"/>
        <w:gridCol w:w="2412"/>
        <w:gridCol w:w="6311"/>
      </w:tblGrid>
      <w:tr w:rsidR="00B352F9" w:rsidTr="00E17D9E">
        <w:tc>
          <w:tcPr>
            <w:tcW w:w="2518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2977" w:type="dxa"/>
            <w:shd w:val="clear" w:color="auto" w:fill="C4BC96" w:themeFill="background2" w:themeFillShade="BF"/>
            <w:vAlign w:val="center"/>
          </w:tcPr>
          <w:p w:rsidR="00E17D9E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2F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E17D9E" w:rsidRPr="00485429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6311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B352F9" w:rsidTr="00B13CEB">
        <w:trPr>
          <w:trHeight w:val="703"/>
        </w:trPr>
        <w:tc>
          <w:tcPr>
            <w:tcW w:w="2518" w:type="dxa"/>
            <w:vAlign w:val="center"/>
          </w:tcPr>
          <w:p w:rsidR="00B352F9" w:rsidRPr="004A5A18" w:rsidRDefault="00B352F9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352F9" w:rsidRPr="004A5A18" w:rsidRDefault="00B86583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Resolución</w:t>
            </w:r>
            <w:r w:rsidR="002843ED">
              <w:rPr>
                <w:rFonts w:ascii="Arial" w:hAnsi="Arial" w:cs="Arial"/>
                <w:sz w:val="21"/>
                <w:szCs w:val="21"/>
              </w:rPr>
              <w:t xml:space="preserve"> Gerencial General Regional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04249" w:rsidRPr="004A5A18">
              <w:rPr>
                <w:rFonts w:ascii="Arial" w:hAnsi="Arial" w:cs="Arial"/>
                <w:sz w:val="21"/>
                <w:szCs w:val="21"/>
              </w:rPr>
              <w:t xml:space="preserve">Nº </w:t>
            </w:r>
            <w:r w:rsidR="00D1750A">
              <w:rPr>
                <w:rFonts w:ascii="Arial" w:hAnsi="Arial" w:cs="Arial"/>
                <w:sz w:val="21"/>
                <w:szCs w:val="21"/>
              </w:rPr>
              <w:t>204-2013-GRA/PR-GGR</w:t>
            </w:r>
          </w:p>
          <w:p w:rsidR="009365C7" w:rsidRPr="004A5A18" w:rsidRDefault="008D01C4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47275">
              <w:rPr>
                <w:rFonts w:ascii="Arial" w:hAnsi="Arial" w:cs="Arial"/>
                <w:sz w:val="21"/>
                <w:szCs w:val="21"/>
              </w:rPr>
              <w:t>(1</w:t>
            </w:r>
            <w:r w:rsidR="00014162" w:rsidRPr="00347275">
              <w:rPr>
                <w:rFonts w:ascii="Arial" w:hAnsi="Arial" w:cs="Arial"/>
                <w:sz w:val="21"/>
                <w:szCs w:val="21"/>
              </w:rPr>
              <w:t>3</w:t>
            </w:r>
            <w:r w:rsidR="00484BFD" w:rsidRPr="00347275">
              <w:rPr>
                <w:rFonts w:ascii="Arial" w:hAnsi="Arial" w:cs="Arial"/>
                <w:sz w:val="21"/>
                <w:szCs w:val="21"/>
              </w:rPr>
              <w:t>/</w:t>
            </w:r>
            <w:r w:rsidRPr="00347275">
              <w:rPr>
                <w:rFonts w:ascii="Arial" w:hAnsi="Arial" w:cs="Arial"/>
                <w:sz w:val="21"/>
                <w:szCs w:val="21"/>
              </w:rPr>
              <w:t>11</w:t>
            </w:r>
            <w:r w:rsidR="009365C7" w:rsidRPr="00347275">
              <w:rPr>
                <w:rFonts w:ascii="Arial" w:hAnsi="Arial" w:cs="Arial"/>
                <w:sz w:val="21"/>
                <w:szCs w:val="21"/>
              </w:rPr>
              <w:t>/201</w:t>
            </w:r>
            <w:r w:rsidRPr="00347275">
              <w:rPr>
                <w:rFonts w:ascii="Arial" w:hAnsi="Arial" w:cs="Arial"/>
                <w:sz w:val="21"/>
                <w:szCs w:val="21"/>
              </w:rPr>
              <w:t>3</w:t>
            </w:r>
            <w:r w:rsidR="009365C7" w:rsidRPr="00347275"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B352F9" w:rsidRPr="00347275" w:rsidRDefault="00B352F9" w:rsidP="00347275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A5A1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365C7" w:rsidRPr="004A5A18" w:rsidRDefault="00D1750A" w:rsidP="00BD71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Rectifican artículo de la Res. Nº 313-2007-GRA/PR-GGR, sobre inscripción de dominio a favor del Estado de terrenos eriazos ubicados en el departamento de Arequipa</w:t>
            </w:r>
            <w:r w:rsidR="00F6484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B352F9" w:rsidRPr="004A5A18" w:rsidRDefault="00BD71FD" w:rsidP="00D17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Gobierno Regional</w:t>
            </w:r>
            <w:r w:rsidR="00D1750A">
              <w:rPr>
                <w:rFonts w:ascii="Arial" w:hAnsi="Arial" w:cs="Arial"/>
                <w:sz w:val="21"/>
                <w:szCs w:val="21"/>
              </w:rPr>
              <w:t xml:space="preserve"> de Arequipa</w:t>
            </w:r>
          </w:p>
        </w:tc>
        <w:tc>
          <w:tcPr>
            <w:tcW w:w="6311" w:type="dxa"/>
            <w:vAlign w:val="center"/>
          </w:tcPr>
          <w:p w:rsidR="00CC551A" w:rsidRPr="004A5A18" w:rsidRDefault="00CC551A" w:rsidP="00CC551A">
            <w:pPr>
              <w:pStyle w:val="NormalWeb"/>
              <w:spacing w:before="0" w:beforeAutospacing="0" w:after="0" w:afterAutospacing="0"/>
              <w:rPr>
                <w:color w:val="auto"/>
                <w:sz w:val="21"/>
                <w:szCs w:val="21"/>
                <w:lang w:eastAsia="es-PE"/>
              </w:rPr>
            </w:pPr>
          </w:p>
          <w:p w:rsidR="00F63E6F" w:rsidRPr="00F63E6F" w:rsidRDefault="00B86583" w:rsidP="00B86583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85759A">
              <w:rPr>
                <w:rFonts w:ascii="Arial" w:hAnsi="Arial" w:cs="Arial"/>
                <w:sz w:val="20"/>
                <w:szCs w:val="20"/>
                <w:lang w:eastAsia="es-PE"/>
              </w:rPr>
              <w:t xml:space="preserve">Se </w:t>
            </w:r>
            <w:r w:rsidR="00347275">
              <w:rPr>
                <w:rFonts w:ascii="Arial" w:hAnsi="Arial" w:cs="Arial"/>
                <w:sz w:val="21"/>
                <w:szCs w:val="21"/>
              </w:rPr>
              <w:t xml:space="preserve">rectifica </w:t>
            </w:r>
            <w:r w:rsidR="0034727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el </w:t>
            </w:r>
            <w:r w:rsidR="00347275">
              <w:rPr>
                <w:rFonts w:ascii="Arial" w:hAnsi="Arial" w:cs="Arial"/>
                <w:sz w:val="21"/>
                <w:szCs w:val="21"/>
              </w:rPr>
              <w:t xml:space="preserve">artículo </w:t>
            </w:r>
            <w:r w:rsidR="00347275" w:rsidRPr="00347275">
              <w:rPr>
                <w:rFonts w:ascii="Arial" w:hAnsi="Arial" w:cs="Arial"/>
                <w:sz w:val="21"/>
                <w:szCs w:val="21"/>
              </w:rPr>
              <w:t>1</w:t>
            </w:r>
            <w:r w:rsidR="00347275" w:rsidRPr="004A5A18">
              <w:rPr>
                <w:rFonts w:ascii="Arial" w:hAnsi="Arial" w:cs="Arial"/>
                <w:sz w:val="21"/>
                <w:szCs w:val="21"/>
              </w:rPr>
              <w:t>º</w:t>
            </w:r>
            <w:r w:rsidR="00347275">
              <w:rPr>
                <w:rFonts w:ascii="Arial" w:hAnsi="Arial" w:cs="Arial"/>
                <w:sz w:val="21"/>
                <w:szCs w:val="21"/>
              </w:rPr>
              <w:t xml:space="preserve"> de la Resolución Gerencial General Regional Nº 313-2007-GRA/PR-GGR de fecha 5 de diciembre de 2007</w:t>
            </w:r>
            <w:r w:rsidR="00404EF2">
              <w:rPr>
                <w:rFonts w:ascii="Arial" w:hAnsi="Arial" w:cs="Arial"/>
                <w:sz w:val="21"/>
                <w:szCs w:val="21"/>
              </w:rPr>
              <w:t xml:space="preserve">, disponiendo así la primera inscripción de dominio a favor del Estado Peruano de trece áreas de terrenos eriazos de dominio privado, ubicados en Punta </w:t>
            </w:r>
            <w:proofErr w:type="spellStart"/>
            <w:r w:rsidR="00404EF2">
              <w:rPr>
                <w:rFonts w:ascii="Arial" w:hAnsi="Arial" w:cs="Arial"/>
                <w:sz w:val="21"/>
                <w:szCs w:val="21"/>
              </w:rPr>
              <w:t>Corio</w:t>
            </w:r>
            <w:proofErr w:type="spellEnd"/>
            <w:r w:rsidR="00404EF2">
              <w:rPr>
                <w:rFonts w:ascii="Arial" w:hAnsi="Arial" w:cs="Arial"/>
                <w:sz w:val="21"/>
                <w:szCs w:val="21"/>
              </w:rPr>
              <w:t xml:space="preserve">, Sector Paraje Agua Salada – Los Corrales, del distrito de Punta de Bombón, provincia de </w:t>
            </w:r>
            <w:proofErr w:type="spellStart"/>
            <w:r w:rsidR="00404EF2">
              <w:rPr>
                <w:rFonts w:ascii="Arial" w:hAnsi="Arial" w:cs="Arial"/>
                <w:sz w:val="21"/>
                <w:szCs w:val="21"/>
              </w:rPr>
              <w:t>Islay</w:t>
            </w:r>
            <w:proofErr w:type="spellEnd"/>
            <w:r w:rsidR="00404EF2">
              <w:rPr>
                <w:rFonts w:ascii="Arial" w:hAnsi="Arial" w:cs="Arial"/>
                <w:sz w:val="21"/>
                <w:szCs w:val="21"/>
              </w:rPr>
              <w:t>, departamento de Arequipa, conforme a los documentos técnicos que sustentan la presente Resolución y que son parte integrante de la misma.</w:t>
            </w:r>
          </w:p>
          <w:p w:rsidR="00F63E6F" w:rsidRPr="00F63E6F" w:rsidRDefault="00F63E6F" w:rsidP="00F63E6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:rsidR="00B86583" w:rsidRPr="00F63E6F" w:rsidRDefault="00F63E6F" w:rsidP="00B86583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 ratifica la </w:t>
            </w:r>
            <w:r w:rsidR="00404EF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Resolución Gerencial General Regional Nº 313-2007-GRA/PR-GGR, en lo demás que contiene.</w:t>
            </w:r>
          </w:p>
          <w:p w:rsidR="00F63E6F" w:rsidRPr="00F63E6F" w:rsidRDefault="00F63E6F" w:rsidP="00F63E6F">
            <w:pPr>
              <w:pStyle w:val="Prrafodelista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:rsidR="00F63E6F" w:rsidRPr="0085759A" w:rsidRDefault="00F63E6F" w:rsidP="00B86583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La Zona Registral Nº XII Sede Arequipa de la Superintendencia Nacional de Registros Públicos, efectuará la inscripción de lo resuelto en la presente resolución</w:t>
            </w:r>
            <w:r w:rsidR="00CB2201">
              <w:rPr>
                <w:rFonts w:ascii="Arial" w:hAnsi="Arial" w:cs="Arial"/>
                <w:sz w:val="20"/>
                <w:szCs w:val="20"/>
                <w:lang w:eastAsia="es-PE"/>
              </w:rPr>
              <w:t>.</w:t>
            </w:r>
          </w:p>
          <w:p w:rsidR="00B86583" w:rsidRPr="0085759A" w:rsidRDefault="00B86583" w:rsidP="00B8658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:rsidR="00931CA5" w:rsidRPr="00BD71FD" w:rsidRDefault="00931CA5" w:rsidP="00D1750A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</w:tr>
    </w:tbl>
    <w:p w:rsidR="006311F6" w:rsidRDefault="006311F6" w:rsidP="009A4274">
      <w:pPr>
        <w:spacing w:line="276" w:lineRule="auto"/>
      </w:pPr>
    </w:p>
    <w:p w:rsidR="004A029F" w:rsidRDefault="004A029F" w:rsidP="009A4274">
      <w:pPr>
        <w:spacing w:line="276" w:lineRule="auto"/>
      </w:pPr>
    </w:p>
    <w:p w:rsidR="00BD71FD" w:rsidRDefault="00BD71FD" w:rsidP="009A4274">
      <w:pPr>
        <w:spacing w:line="276" w:lineRule="auto"/>
      </w:pPr>
    </w:p>
    <w:p w:rsidR="00BD71FD" w:rsidRDefault="00BD71FD" w:rsidP="00BD71FD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DISPOSICIONES EN LOS GOBIERNOS LOCALES</w:t>
      </w:r>
    </w:p>
    <w:p w:rsidR="00BD71FD" w:rsidRDefault="00BD71FD" w:rsidP="00BD71FD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977"/>
        <w:gridCol w:w="2412"/>
        <w:gridCol w:w="6311"/>
      </w:tblGrid>
      <w:tr w:rsidR="00BD71FD" w:rsidTr="00BD71FD">
        <w:tc>
          <w:tcPr>
            <w:tcW w:w="2518" w:type="dxa"/>
            <w:shd w:val="clear" w:color="auto" w:fill="C4BC96" w:themeFill="background2" w:themeFillShade="BF"/>
            <w:vAlign w:val="center"/>
          </w:tcPr>
          <w:p w:rsidR="00BD71FD" w:rsidRPr="00485429" w:rsidRDefault="00BD71FD" w:rsidP="00BD71F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2977" w:type="dxa"/>
            <w:shd w:val="clear" w:color="auto" w:fill="C4BC96" w:themeFill="background2" w:themeFillShade="BF"/>
            <w:vAlign w:val="center"/>
          </w:tcPr>
          <w:p w:rsidR="00BD71FD" w:rsidRDefault="00BD71FD" w:rsidP="00BD71F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FD" w:rsidRDefault="00BD71FD" w:rsidP="00BD71F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BD71FD" w:rsidRPr="00485429" w:rsidRDefault="00BD71FD" w:rsidP="00BD71F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C4BC96" w:themeFill="background2" w:themeFillShade="BF"/>
            <w:vAlign w:val="center"/>
          </w:tcPr>
          <w:p w:rsidR="00BD71FD" w:rsidRPr="00485429" w:rsidRDefault="00BD71FD" w:rsidP="00BD71F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6311" w:type="dxa"/>
            <w:shd w:val="clear" w:color="auto" w:fill="C4BC96" w:themeFill="background2" w:themeFillShade="BF"/>
            <w:vAlign w:val="center"/>
          </w:tcPr>
          <w:p w:rsidR="00BD71FD" w:rsidRPr="00485429" w:rsidRDefault="00BD71FD" w:rsidP="00BD71F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BD71FD" w:rsidTr="00D1750A">
        <w:trPr>
          <w:trHeight w:val="703"/>
        </w:trPr>
        <w:tc>
          <w:tcPr>
            <w:tcW w:w="2518" w:type="dxa"/>
            <w:vAlign w:val="center"/>
          </w:tcPr>
          <w:p w:rsidR="00BD71FD" w:rsidRPr="004A5A18" w:rsidRDefault="00BD71FD" w:rsidP="00D17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D71FD" w:rsidRPr="004A5A18" w:rsidRDefault="00D1750A" w:rsidP="00D17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Decreto de Alcaldía</w:t>
            </w:r>
            <w:r w:rsidR="00BD71F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71FD" w:rsidRPr="004A5A18">
              <w:rPr>
                <w:rFonts w:ascii="Arial" w:hAnsi="Arial" w:cs="Arial"/>
                <w:sz w:val="21"/>
                <w:szCs w:val="21"/>
              </w:rPr>
              <w:t>Nº</w:t>
            </w:r>
            <w:r>
              <w:rPr>
                <w:rFonts w:ascii="Arial" w:hAnsi="Arial" w:cs="Arial"/>
                <w:sz w:val="21"/>
                <w:szCs w:val="21"/>
              </w:rPr>
              <w:t xml:space="preserve"> 003-2014</w:t>
            </w:r>
          </w:p>
          <w:p w:rsidR="00BD71FD" w:rsidRPr="00D1750A" w:rsidRDefault="00BD71FD" w:rsidP="00A8415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4159">
              <w:rPr>
                <w:rFonts w:ascii="Arial" w:hAnsi="Arial" w:cs="Arial"/>
                <w:sz w:val="21"/>
                <w:szCs w:val="21"/>
              </w:rPr>
              <w:t>(2</w:t>
            </w:r>
            <w:r w:rsidR="00A84159" w:rsidRPr="00A84159">
              <w:rPr>
                <w:rFonts w:ascii="Arial" w:hAnsi="Arial" w:cs="Arial"/>
                <w:sz w:val="21"/>
                <w:szCs w:val="21"/>
              </w:rPr>
              <w:t>8</w:t>
            </w:r>
            <w:r w:rsidRPr="00A84159">
              <w:rPr>
                <w:rFonts w:ascii="Arial" w:hAnsi="Arial" w:cs="Arial"/>
                <w:sz w:val="21"/>
                <w:szCs w:val="21"/>
              </w:rPr>
              <w:t>/01/2014)</w:t>
            </w:r>
          </w:p>
        </w:tc>
        <w:tc>
          <w:tcPr>
            <w:tcW w:w="2977" w:type="dxa"/>
            <w:vAlign w:val="center"/>
          </w:tcPr>
          <w:p w:rsidR="00BD71FD" w:rsidRPr="004A5A18" w:rsidRDefault="00D1750A" w:rsidP="00BD71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Prorrogan vigencia de la Ordenanza Nº 260 que establece Beneficio de Regularización Tributaria en el distrito</w:t>
            </w:r>
            <w:r w:rsidR="00BD71F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BD71FD" w:rsidRPr="004A5A18" w:rsidRDefault="00B86583" w:rsidP="00D17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Municipalidad de </w:t>
            </w:r>
            <w:r w:rsidR="00D1750A">
              <w:rPr>
                <w:rFonts w:ascii="Arial" w:hAnsi="Arial" w:cs="Arial"/>
                <w:sz w:val="21"/>
                <w:szCs w:val="21"/>
              </w:rPr>
              <w:t>La Molina</w:t>
            </w:r>
          </w:p>
        </w:tc>
        <w:tc>
          <w:tcPr>
            <w:tcW w:w="6311" w:type="dxa"/>
            <w:vAlign w:val="center"/>
          </w:tcPr>
          <w:p w:rsidR="00BD71FD" w:rsidRPr="004A5A18" w:rsidRDefault="00BD71FD" w:rsidP="00BD71FD">
            <w:pPr>
              <w:pStyle w:val="NormalWeb"/>
              <w:spacing w:before="0" w:beforeAutospacing="0" w:after="0" w:afterAutospacing="0"/>
              <w:rPr>
                <w:color w:val="auto"/>
                <w:sz w:val="21"/>
                <w:szCs w:val="21"/>
                <w:lang w:eastAsia="es-PE"/>
              </w:rPr>
            </w:pPr>
          </w:p>
          <w:p w:rsidR="00D77994" w:rsidRPr="00D77994" w:rsidRDefault="004A029F" w:rsidP="00D77994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Se </w:t>
            </w:r>
            <w:r w:rsidR="00D77994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prorroga el plazo de vigencia de la Ordenanza Nº 260, que establece el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D77994">
              <w:rPr>
                <w:rFonts w:ascii="Arial" w:hAnsi="Arial" w:cs="Arial"/>
                <w:sz w:val="21"/>
                <w:szCs w:val="21"/>
              </w:rPr>
              <w:t xml:space="preserve">Beneficio de Regularización Tributaria en el distrito de La Molina hasta el </w:t>
            </w:r>
            <w:r w:rsidR="00D77994" w:rsidRPr="00D77994">
              <w:rPr>
                <w:rFonts w:ascii="Arial" w:hAnsi="Arial" w:cs="Arial"/>
                <w:b/>
                <w:sz w:val="21"/>
                <w:szCs w:val="21"/>
              </w:rPr>
              <w:t>28 de febrero de 2014.</w:t>
            </w:r>
          </w:p>
          <w:p w:rsidR="002D7B14" w:rsidRDefault="002D7B14" w:rsidP="002D7B14">
            <w:p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375FDD" w:rsidRPr="00BA4B6F" w:rsidRDefault="00D77994" w:rsidP="00BA4B6F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7994">
              <w:rPr>
                <w:rFonts w:ascii="Arial" w:hAnsi="Arial" w:cs="Arial"/>
                <w:sz w:val="16"/>
                <w:szCs w:val="16"/>
              </w:rPr>
              <w:t xml:space="preserve">Nota: La Ordenanza Nº </w:t>
            </w: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Pr="00D77994">
              <w:rPr>
                <w:rFonts w:ascii="Arial" w:hAnsi="Arial" w:cs="Arial"/>
                <w:sz w:val="16"/>
                <w:szCs w:val="16"/>
              </w:rPr>
              <w:t xml:space="preserve">, formó parte del reporte de normas legales del día 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D77994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</w:rPr>
              <w:t>setiem</w:t>
            </w:r>
            <w:r w:rsidRPr="00D77994">
              <w:rPr>
                <w:rFonts w:ascii="Arial" w:hAnsi="Arial" w:cs="Arial"/>
                <w:sz w:val="16"/>
                <w:szCs w:val="16"/>
              </w:rPr>
              <w:t>bre de 2013.</w:t>
            </w:r>
          </w:p>
        </w:tc>
      </w:tr>
      <w:tr w:rsidR="00D1750A" w:rsidTr="00BD71FD">
        <w:trPr>
          <w:trHeight w:val="703"/>
        </w:trPr>
        <w:tc>
          <w:tcPr>
            <w:tcW w:w="2518" w:type="dxa"/>
            <w:vAlign w:val="center"/>
          </w:tcPr>
          <w:p w:rsidR="00D1750A" w:rsidRPr="004A5A18" w:rsidRDefault="00D1750A" w:rsidP="00D17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Decreto de Alcaldía </w:t>
            </w:r>
            <w:r w:rsidRPr="004A5A18">
              <w:rPr>
                <w:rFonts w:ascii="Arial" w:hAnsi="Arial" w:cs="Arial"/>
                <w:sz w:val="21"/>
                <w:szCs w:val="21"/>
              </w:rPr>
              <w:t>Nº</w:t>
            </w:r>
            <w:r>
              <w:rPr>
                <w:rFonts w:ascii="Arial" w:hAnsi="Arial" w:cs="Arial"/>
                <w:sz w:val="21"/>
                <w:szCs w:val="21"/>
              </w:rPr>
              <w:t xml:space="preserve"> 005-2014</w:t>
            </w:r>
          </w:p>
          <w:p w:rsidR="00D1750A" w:rsidRPr="004A5A18" w:rsidRDefault="00D1750A" w:rsidP="005B7A7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7A70">
              <w:rPr>
                <w:rFonts w:ascii="Arial" w:hAnsi="Arial" w:cs="Arial"/>
                <w:sz w:val="21"/>
                <w:szCs w:val="21"/>
              </w:rPr>
              <w:t>(2</w:t>
            </w:r>
            <w:r w:rsidR="005B7A70" w:rsidRPr="005B7A70">
              <w:rPr>
                <w:rFonts w:ascii="Arial" w:hAnsi="Arial" w:cs="Arial"/>
                <w:sz w:val="21"/>
                <w:szCs w:val="21"/>
              </w:rPr>
              <w:t>8</w:t>
            </w:r>
            <w:r w:rsidRPr="005B7A70">
              <w:rPr>
                <w:rFonts w:ascii="Arial" w:hAnsi="Arial" w:cs="Arial"/>
                <w:sz w:val="21"/>
                <w:szCs w:val="21"/>
              </w:rPr>
              <w:t>/01/2014)</w:t>
            </w:r>
          </w:p>
        </w:tc>
        <w:tc>
          <w:tcPr>
            <w:tcW w:w="2977" w:type="dxa"/>
            <w:vAlign w:val="center"/>
          </w:tcPr>
          <w:p w:rsidR="00D1750A" w:rsidRDefault="00D1750A" w:rsidP="00D17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Prorrogan vigencia de la Ordenanza Nº 258 que aprueba el “Beneficio de Regularización de Deudas No Tributarias por concepto de multas administrativas en el distrito de La Molina</w:t>
            </w:r>
            <w:r w:rsidR="005B7A70">
              <w:rPr>
                <w:rFonts w:ascii="Arial" w:hAnsi="Arial" w:cs="Arial"/>
                <w:sz w:val="21"/>
                <w:szCs w:val="21"/>
              </w:rPr>
              <w:t>”</w:t>
            </w:r>
          </w:p>
        </w:tc>
        <w:tc>
          <w:tcPr>
            <w:tcW w:w="2412" w:type="dxa"/>
            <w:vAlign w:val="center"/>
          </w:tcPr>
          <w:p w:rsidR="00D1750A" w:rsidRDefault="00D1750A" w:rsidP="00D17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Municipalidad de La Molina</w:t>
            </w:r>
          </w:p>
        </w:tc>
        <w:tc>
          <w:tcPr>
            <w:tcW w:w="6311" w:type="dxa"/>
            <w:vAlign w:val="center"/>
          </w:tcPr>
          <w:p w:rsidR="005B7A70" w:rsidRPr="005B7A70" w:rsidRDefault="005B7A70" w:rsidP="005B7A70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</w:pPr>
          </w:p>
          <w:p w:rsidR="005B7A70" w:rsidRPr="00D77994" w:rsidRDefault="005B7A70" w:rsidP="005B7A70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Se prorroga la vigencia de la Ordenanza Nº 258, </w:t>
            </w:r>
            <w:r>
              <w:rPr>
                <w:rFonts w:ascii="Arial" w:hAnsi="Arial" w:cs="Arial"/>
                <w:sz w:val="21"/>
                <w:szCs w:val="21"/>
              </w:rPr>
              <w:t xml:space="preserve">que aprueba el “Beneficio de Regularización de Deudas No Tributarias por concepto de multas administrativas en el distrito de La Molina” hasta el </w:t>
            </w:r>
            <w:r w:rsidRPr="00D77994">
              <w:rPr>
                <w:rFonts w:ascii="Arial" w:hAnsi="Arial" w:cs="Arial"/>
                <w:b/>
                <w:sz w:val="21"/>
                <w:szCs w:val="21"/>
              </w:rPr>
              <w:t>28 de febrero de 2014.</w:t>
            </w:r>
          </w:p>
          <w:p w:rsidR="005B7A70" w:rsidRDefault="005B7A70" w:rsidP="005B7A70">
            <w:p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D1750A" w:rsidRPr="005B7A70" w:rsidRDefault="005B7A70" w:rsidP="005B7A70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7994">
              <w:rPr>
                <w:rFonts w:ascii="Arial" w:hAnsi="Arial" w:cs="Arial"/>
                <w:sz w:val="16"/>
                <w:szCs w:val="16"/>
              </w:rPr>
              <w:t xml:space="preserve">Nota: La Ordenanza Nº </w:t>
            </w:r>
            <w:r>
              <w:rPr>
                <w:rFonts w:ascii="Arial" w:hAnsi="Arial" w:cs="Arial"/>
                <w:sz w:val="16"/>
                <w:szCs w:val="16"/>
              </w:rPr>
              <w:t>258</w:t>
            </w:r>
            <w:r w:rsidRPr="00D77994">
              <w:rPr>
                <w:rFonts w:ascii="Arial" w:hAnsi="Arial" w:cs="Arial"/>
                <w:sz w:val="16"/>
                <w:szCs w:val="16"/>
              </w:rPr>
              <w:t xml:space="preserve">, formó parte del reporte de normas legales del día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D77994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</w:rPr>
              <w:t>julio</w:t>
            </w:r>
            <w:r w:rsidRPr="00D77994">
              <w:rPr>
                <w:rFonts w:ascii="Arial" w:hAnsi="Arial" w:cs="Arial"/>
                <w:sz w:val="16"/>
                <w:szCs w:val="16"/>
              </w:rPr>
              <w:t xml:space="preserve"> de 2013.</w:t>
            </w:r>
          </w:p>
        </w:tc>
      </w:tr>
      <w:tr w:rsidR="00D95055" w:rsidTr="00BD71FD">
        <w:trPr>
          <w:trHeight w:val="703"/>
        </w:trPr>
        <w:tc>
          <w:tcPr>
            <w:tcW w:w="2518" w:type="dxa"/>
            <w:vAlign w:val="center"/>
          </w:tcPr>
          <w:p w:rsidR="00D95055" w:rsidRPr="004A5A18" w:rsidRDefault="00D95055" w:rsidP="00D9505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Decreto de Alcaldía </w:t>
            </w:r>
            <w:r w:rsidRPr="004A5A18">
              <w:rPr>
                <w:rFonts w:ascii="Arial" w:hAnsi="Arial" w:cs="Arial"/>
                <w:sz w:val="21"/>
                <w:szCs w:val="21"/>
              </w:rPr>
              <w:t>Nº</w:t>
            </w:r>
            <w:r>
              <w:rPr>
                <w:rFonts w:ascii="Arial" w:hAnsi="Arial" w:cs="Arial"/>
                <w:sz w:val="21"/>
                <w:szCs w:val="21"/>
              </w:rPr>
              <w:t xml:space="preserve"> 004-2014-MSB-A</w:t>
            </w:r>
          </w:p>
          <w:p w:rsidR="00D95055" w:rsidRDefault="00D95055" w:rsidP="006E4F9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4F91">
              <w:rPr>
                <w:rFonts w:ascii="Arial" w:hAnsi="Arial" w:cs="Arial"/>
                <w:sz w:val="21"/>
                <w:szCs w:val="21"/>
              </w:rPr>
              <w:t>(2</w:t>
            </w:r>
            <w:r w:rsidR="006E4F91" w:rsidRPr="006E4F91">
              <w:rPr>
                <w:rFonts w:ascii="Arial" w:hAnsi="Arial" w:cs="Arial"/>
                <w:sz w:val="21"/>
                <w:szCs w:val="21"/>
              </w:rPr>
              <w:t>9</w:t>
            </w:r>
            <w:r w:rsidRPr="006E4F91">
              <w:rPr>
                <w:rFonts w:ascii="Arial" w:hAnsi="Arial" w:cs="Arial"/>
                <w:sz w:val="21"/>
                <w:szCs w:val="21"/>
              </w:rPr>
              <w:t>/01/2014)</w:t>
            </w:r>
          </w:p>
        </w:tc>
        <w:tc>
          <w:tcPr>
            <w:tcW w:w="2977" w:type="dxa"/>
            <w:vAlign w:val="center"/>
          </w:tcPr>
          <w:p w:rsidR="00D95055" w:rsidRDefault="00D95055" w:rsidP="00D17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Prorrogan vigencia de la Ordenanza Nº 516-MSB, que aprobó Beneficio de Regularización Tributaria</w:t>
            </w:r>
          </w:p>
        </w:tc>
        <w:tc>
          <w:tcPr>
            <w:tcW w:w="2412" w:type="dxa"/>
            <w:vAlign w:val="center"/>
          </w:tcPr>
          <w:p w:rsidR="00D95055" w:rsidRDefault="00D95055" w:rsidP="00D17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Municipalidad de San Borja</w:t>
            </w:r>
            <w:r w:rsidR="002843E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311" w:type="dxa"/>
            <w:vAlign w:val="center"/>
          </w:tcPr>
          <w:p w:rsidR="006E4F91" w:rsidRPr="006E4F91" w:rsidRDefault="006E4F91" w:rsidP="006E4F9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</w:pPr>
          </w:p>
          <w:p w:rsidR="006E4F91" w:rsidRPr="00D77994" w:rsidRDefault="006E4F91" w:rsidP="006E4F91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Se prorroga </w:t>
            </w:r>
            <w:r>
              <w:rPr>
                <w:rFonts w:ascii="Arial" w:hAnsi="Arial" w:cs="Arial"/>
                <w:sz w:val="21"/>
                <w:szCs w:val="21"/>
              </w:rPr>
              <w:t xml:space="preserve">hasta el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28 de febrero de 2014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el plazo de la vigencia de la Ordenanza Nº </w:t>
            </w:r>
            <w:r>
              <w:rPr>
                <w:rFonts w:ascii="Arial" w:hAnsi="Arial" w:cs="Arial"/>
                <w:sz w:val="21"/>
                <w:szCs w:val="21"/>
              </w:rPr>
              <w:t>516-MSB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que aprobó Beneficio de Regularización Tributaria.</w:t>
            </w:r>
          </w:p>
          <w:p w:rsidR="006E4F91" w:rsidRDefault="006E4F91" w:rsidP="006E4F91">
            <w:p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D95055" w:rsidRDefault="006E4F91" w:rsidP="006E4F91">
            <w:pPr>
              <w:pStyle w:val="NormalWeb"/>
              <w:spacing w:before="0" w:beforeAutospacing="0" w:after="0" w:afterAutospacing="0"/>
              <w:ind w:left="360"/>
              <w:rPr>
                <w:sz w:val="16"/>
                <w:szCs w:val="16"/>
              </w:rPr>
            </w:pPr>
            <w:r w:rsidRPr="00D77994">
              <w:rPr>
                <w:sz w:val="16"/>
                <w:szCs w:val="16"/>
              </w:rPr>
              <w:t xml:space="preserve">Nota: La Ordenanza Nº </w:t>
            </w:r>
            <w:r>
              <w:rPr>
                <w:sz w:val="16"/>
                <w:szCs w:val="16"/>
              </w:rPr>
              <w:t>516-MSB</w:t>
            </w:r>
            <w:r w:rsidRPr="00D77994">
              <w:rPr>
                <w:sz w:val="16"/>
                <w:szCs w:val="16"/>
              </w:rPr>
              <w:t xml:space="preserve">, formó parte del reporte de normas legales del día </w:t>
            </w:r>
            <w:r>
              <w:rPr>
                <w:sz w:val="16"/>
                <w:szCs w:val="16"/>
              </w:rPr>
              <w:t>3</w:t>
            </w:r>
            <w:r w:rsidRPr="00D77994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diciembre</w:t>
            </w:r>
            <w:r w:rsidRPr="00D77994">
              <w:rPr>
                <w:sz w:val="16"/>
                <w:szCs w:val="16"/>
              </w:rPr>
              <w:t xml:space="preserve"> de 2013.</w:t>
            </w:r>
          </w:p>
          <w:p w:rsidR="00BA4B6F" w:rsidRPr="004A5A18" w:rsidRDefault="00BA4B6F" w:rsidP="00BA4B6F">
            <w:pPr>
              <w:pStyle w:val="NormalWeb"/>
              <w:spacing w:before="0" w:beforeAutospacing="0" w:after="0" w:afterAutospacing="0"/>
              <w:rPr>
                <w:color w:val="auto"/>
                <w:sz w:val="21"/>
                <w:szCs w:val="21"/>
                <w:lang w:eastAsia="es-PE"/>
              </w:rPr>
            </w:pPr>
          </w:p>
        </w:tc>
      </w:tr>
    </w:tbl>
    <w:p w:rsidR="00BD71FD" w:rsidRDefault="00BD71FD" w:rsidP="00BD71FD">
      <w:pPr>
        <w:spacing w:line="276" w:lineRule="auto"/>
        <w:jc w:val="center"/>
      </w:pPr>
      <w:bookmarkStart w:id="0" w:name="_GoBack"/>
      <w:bookmarkEnd w:id="0"/>
    </w:p>
    <w:sectPr w:rsidR="00BD71FD" w:rsidSect="004878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698"/>
    <w:multiLevelType w:val="hybridMultilevel"/>
    <w:tmpl w:val="89E6D110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2A27"/>
    <w:multiLevelType w:val="hybridMultilevel"/>
    <w:tmpl w:val="AE9871D0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146CF"/>
    <w:multiLevelType w:val="hybridMultilevel"/>
    <w:tmpl w:val="7FAC8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76387"/>
    <w:multiLevelType w:val="hybridMultilevel"/>
    <w:tmpl w:val="0EAE75C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30221D"/>
    <w:multiLevelType w:val="hybridMultilevel"/>
    <w:tmpl w:val="D5DE67A8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53526"/>
    <w:multiLevelType w:val="hybridMultilevel"/>
    <w:tmpl w:val="59B4D128"/>
    <w:lvl w:ilvl="0" w:tplc="0C0A0017">
      <w:start w:val="1"/>
      <w:numFmt w:val="lowerLetter"/>
      <w:lvlText w:val="%1)"/>
      <w:lvlJc w:val="left"/>
      <w:pPr>
        <w:ind w:left="103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6">
    <w:nsid w:val="1DEB74EC"/>
    <w:multiLevelType w:val="hybridMultilevel"/>
    <w:tmpl w:val="91F2667C"/>
    <w:lvl w:ilvl="0" w:tplc="E03E666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F948A8"/>
    <w:multiLevelType w:val="hybridMultilevel"/>
    <w:tmpl w:val="0FB4AA9A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1B73"/>
    <w:multiLevelType w:val="hybridMultilevel"/>
    <w:tmpl w:val="5E6E0162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021F1"/>
    <w:multiLevelType w:val="hybridMultilevel"/>
    <w:tmpl w:val="961AFD68"/>
    <w:lvl w:ilvl="0" w:tplc="D06C6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B6C7A"/>
    <w:multiLevelType w:val="hybridMultilevel"/>
    <w:tmpl w:val="0DBE6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F1310"/>
    <w:multiLevelType w:val="hybridMultilevel"/>
    <w:tmpl w:val="09AA3C52"/>
    <w:lvl w:ilvl="0" w:tplc="9B9055D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6943C4"/>
    <w:multiLevelType w:val="hybridMultilevel"/>
    <w:tmpl w:val="1DDE393C"/>
    <w:lvl w:ilvl="0" w:tplc="22602E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914E9"/>
    <w:multiLevelType w:val="hybridMultilevel"/>
    <w:tmpl w:val="C9CC410E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66D16"/>
    <w:multiLevelType w:val="hybridMultilevel"/>
    <w:tmpl w:val="89725B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D65ECA"/>
    <w:multiLevelType w:val="hybridMultilevel"/>
    <w:tmpl w:val="6C685A0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04129E"/>
    <w:multiLevelType w:val="hybridMultilevel"/>
    <w:tmpl w:val="A4D041FA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270F26"/>
    <w:multiLevelType w:val="hybridMultilevel"/>
    <w:tmpl w:val="E4E25194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F061A1"/>
    <w:multiLevelType w:val="hybridMultilevel"/>
    <w:tmpl w:val="49C6A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8292C"/>
    <w:multiLevelType w:val="hybridMultilevel"/>
    <w:tmpl w:val="4B86A1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0110A5"/>
    <w:multiLevelType w:val="hybridMultilevel"/>
    <w:tmpl w:val="5E6A6F54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95E3A"/>
    <w:multiLevelType w:val="hybridMultilevel"/>
    <w:tmpl w:val="C8F295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E48A3"/>
    <w:multiLevelType w:val="hybridMultilevel"/>
    <w:tmpl w:val="B322ACBE"/>
    <w:lvl w:ilvl="0" w:tplc="9B9055D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810CFE"/>
    <w:multiLevelType w:val="hybridMultilevel"/>
    <w:tmpl w:val="DA0EDBDC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8565D9"/>
    <w:multiLevelType w:val="hybridMultilevel"/>
    <w:tmpl w:val="6D945EF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567942"/>
    <w:multiLevelType w:val="multilevel"/>
    <w:tmpl w:val="62FCB2D6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73B4607"/>
    <w:multiLevelType w:val="hybridMultilevel"/>
    <w:tmpl w:val="60A4003A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C5A0B"/>
    <w:multiLevelType w:val="hybridMultilevel"/>
    <w:tmpl w:val="409038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B609AC"/>
    <w:multiLevelType w:val="hybridMultilevel"/>
    <w:tmpl w:val="332EEB08"/>
    <w:lvl w:ilvl="0" w:tplc="11400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90AB0"/>
    <w:multiLevelType w:val="hybridMultilevel"/>
    <w:tmpl w:val="69DA5E50"/>
    <w:lvl w:ilvl="0" w:tplc="9B9055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80889"/>
    <w:multiLevelType w:val="hybridMultilevel"/>
    <w:tmpl w:val="1B980CD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332822"/>
    <w:multiLevelType w:val="hybridMultilevel"/>
    <w:tmpl w:val="7AB4D95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854745"/>
    <w:multiLevelType w:val="hybridMultilevel"/>
    <w:tmpl w:val="BFC0AF7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1807FE"/>
    <w:multiLevelType w:val="hybridMultilevel"/>
    <w:tmpl w:val="5DCCD0E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3E6729"/>
    <w:multiLevelType w:val="hybridMultilevel"/>
    <w:tmpl w:val="B5F28F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014FA8"/>
    <w:multiLevelType w:val="hybridMultilevel"/>
    <w:tmpl w:val="814E20D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6058EA"/>
    <w:multiLevelType w:val="hybridMultilevel"/>
    <w:tmpl w:val="ECFC07EE"/>
    <w:lvl w:ilvl="0" w:tplc="7250E6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3"/>
  </w:num>
  <w:num w:numId="5">
    <w:abstractNumId w:val="6"/>
  </w:num>
  <w:num w:numId="6">
    <w:abstractNumId w:val="10"/>
  </w:num>
  <w:num w:numId="7">
    <w:abstractNumId w:val="29"/>
  </w:num>
  <w:num w:numId="8">
    <w:abstractNumId w:val="34"/>
  </w:num>
  <w:num w:numId="9">
    <w:abstractNumId w:val="33"/>
  </w:num>
  <w:num w:numId="10">
    <w:abstractNumId w:val="35"/>
  </w:num>
  <w:num w:numId="11">
    <w:abstractNumId w:val="32"/>
  </w:num>
  <w:num w:numId="12">
    <w:abstractNumId w:val="25"/>
  </w:num>
  <w:num w:numId="13">
    <w:abstractNumId w:val="12"/>
  </w:num>
  <w:num w:numId="14">
    <w:abstractNumId w:val="2"/>
  </w:num>
  <w:num w:numId="15">
    <w:abstractNumId w:val="16"/>
  </w:num>
  <w:num w:numId="16">
    <w:abstractNumId w:val="16"/>
  </w:num>
  <w:num w:numId="17">
    <w:abstractNumId w:val="8"/>
  </w:num>
  <w:num w:numId="18">
    <w:abstractNumId w:val="15"/>
  </w:num>
  <w:num w:numId="19">
    <w:abstractNumId w:val="36"/>
  </w:num>
  <w:num w:numId="20">
    <w:abstractNumId w:val="28"/>
  </w:num>
  <w:num w:numId="21">
    <w:abstractNumId w:val="11"/>
  </w:num>
  <w:num w:numId="22">
    <w:abstractNumId w:val="22"/>
  </w:num>
  <w:num w:numId="23">
    <w:abstractNumId w:val="3"/>
  </w:num>
  <w:num w:numId="24">
    <w:abstractNumId w:val="24"/>
  </w:num>
  <w:num w:numId="25">
    <w:abstractNumId w:val="27"/>
  </w:num>
  <w:num w:numId="26">
    <w:abstractNumId w:val="19"/>
  </w:num>
  <w:num w:numId="27">
    <w:abstractNumId w:val="26"/>
  </w:num>
  <w:num w:numId="28">
    <w:abstractNumId w:val="20"/>
  </w:num>
  <w:num w:numId="29">
    <w:abstractNumId w:val="13"/>
  </w:num>
  <w:num w:numId="30">
    <w:abstractNumId w:val="4"/>
  </w:num>
  <w:num w:numId="31">
    <w:abstractNumId w:val="21"/>
  </w:num>
  <w:num w:numId="32">
    <w:abstractNumId w:val="1"/>
  </w:num>
  <w:num w:numId="33">
    <w:abstractNumId w:val="18"/>
  </w:num>
  <w:num w:numId="34">
    <w:abstractNumId w:val="7"/>
  </w:num>
  <w:num w:numId="35">
    <w:abstractNumId w:val="0"/>
  </w:num>
  <w:num w:numId="36">
    <w:abstractNumId w:val="17"/>
  </w:num>
  <w:num w:numId="37">
    <w:abstractNumId w:val="14"/>
  </w:num>
  <w:num w:numId="38">
    <w:abstractNumId w:val="30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14162"/>
    <w:rsid w:val="00031699"/>
    <w:rsid w:val="0005222E"/>
    <w:rsid w:val="00086C61"/>
    <w:rsid w:val="00086DBC"/>
    <w:rsid w:val="000B6F8E"/>
    <w:rsid w:val="000C3302"/>
    <w:rsid w:val="000D098A"/>
    <w:rsid w:val="00102213"/>
    <w:rsid w:val="0011752F"/>
    <w:rsid w:val="0012188E"/>
    <w:rsid w:val="00132DD3"/>
    <w:rsid w:val="00154AC7"/>
    <w:rsid w:val="00167041"/>
    <w:rsid w:val="001812C2"/>
    <w:rsid w:val="00186C5B"/>
    <w:rsid w:val="00194106"/>
    <w:rsid w:val="001A0F57"/>
    <w:rsid w:val="001D08AD"/>
    <w:rsid w:val="001F5EF1"/>
    <w:rsid w:val="00205A79"/>
    <w:rsid w:val="0020774E"/>
    <w:rsid w:val="002172A7"/>
    <w:rsid w:val="002316E2"/>
    <w:rsid w:val="00233737"/>
    <w:rsid w:val="002708AA"/>
    <w:rsid w:val="002843ED"/>
    <w:rsid w:val="00297248"/>
    <w:rsid w:val="002A56AE"/>
    <w:rsid w:val="002B52B2"/>
    <w:rsid w:val="002B6081"/>
    <w:rsid w:val="002C513A"/>
    <w:rsid w:val="002D49C8"/>
    <w:rsid w:val="002D7B14"/>
    <w:rsid w:val="002E092B"/>
    <w:rsid w:val="00301DC4"/>
    <w:rsid w:val="00302124"/>
    <w:rsid w:val="003030CA"/>
    <w:rsid w:val="00330136"/>
    <w:rsid w:val="00332CDB"/>
    <w:rsid w:val="00345AEC"/>
    <w:rsid w:val="00347275"/>
    <w:rsid w:val="00375FDD"/>
    <w:rsid w:val="00393D1E"/>
    <w:rsid w:val="003A1571"/>
    <w:rsid w:val="003B1448"/>
    <w:rsid w:val="003C50E7"/>
    <w:rsid w:val="003D2B34"/>
    <w:rsid w:val="003E49EA"/>
    <w:rsid w:val="003E7421"/>
    <w:rsid w:val="003F11BE"/>
    <w:rsid w:val="003F3A25"/>
    <w:rsid w:val="004042C6"/>
    <w:rsid w:val="00404A34"/>
    <w:rsid w:val="00404EF2"/>
    <w:rsid w:val="00406020"/>
    <w:rsid w:val="00421816"/>
    <w:rsid w:val="00424CFD"/>
    <w:rsid w:val="00442DEB"/>
    <w:rsid w:val="004653F0"/>
    <w:rsid w:val="00475E54"/>
    <w:rsid w:val="00484BFD"/>
    <w:rsid w:val="00485429"/>
    <w:rsid w:val="004878EF"/>
    <w:rsid w:val="004A029F"/>
    <w:rsid w:val="004A4C5B"/>
    <w:rsid w:val="004A5A18"/>
    <w:rsid w:val="004C7A85"/>
    <w:rsid w:val="004D7882"/>
    <w:rsid w:val="004F4886"/>
    <w:rsid w:val="005119E4"/>
    <w:rsid w:val="00520E18"/>
    <w:rsid w:val="005219C4"/>
    <w:rsid w:val="005235EF"/>
    <w:rsid w:val="00524D3C"/>
    <w:rsid w:val="00531867"/>
    <w:rsid w:val="00533245"/>
    <w:rsid w:val="00533CBD"/>
    <w:rsid w:val="0053630B"/>
    <w:rsid w:val="00540E7F"/>
    <w:rsid w:val="0054579F"/>
    <w:rsid w:val="0055302B"/>
    <w:rsid w:val="005626D0"/>
    <w:rsid w:val="00563C45"/>
    <w:rsid w:val="00565BDB"/>
    <w:rsid w:val="00572CA2"/>
    <w:rsid w:val="00576F1E"/>
    <w:rsid w:val="005945CB"/>
    <w:rsid w:val="005A457C"/>
    <w:rsid w:val="005B7A70"/>
    <w:rsid w:val="005D0BDC"/>
    <w:rsid w:val="005E6485"/>
    <w:rsid w:val="006207CD"/>
    <w:rsid w:val="006311F6"/>
    <w:rsid w:val="006501D7"/>
    <w:rsid w:val="00653C9A"/>
    <w:rsid w:val="00667B43"/>
    <w:rsid w:val="00683877"/>
    <w:rsid w:val="00683C4F"/>
    <w:rsid w:val="00685FDF"/>
    <w:rsid w:val="00694665"/>
    <w:rsid w:val="006E4F91"/>
    <w:rsid w:val="006F2C13"/>
    <w:rsid w:val="00710C9F"/>
    <w:rsid w:val="007259CC"/>
    <w:rsid w:val="00727292"/>
    <w:rsid w:val="00730849"/>
    <w:rsid w:val="00735599"/>
    <w:rsid w:val="00792B9A"/>
    <w:rsid w:val="007A4090"/>
    <w:rsid w:val="007D246C"/>
    <w:rsid w:val="007D5857"/>
    <w:rsid w:val="007E1A26"/>
    <w:rsid w:val="007E4964"/>
    <w:rsid w:val="007F0B83"/>
    <w:rsid w:val="007F222A"/>
    <w:rsid w:val="00806C13"/>
    <w:rsid w:val="0081343C"/>
    <w:rsid w:val="008229B9"/>
    <w:rsid w:val="008324F5"/>
    <w:rsid w:val="0084383F"/>
    <w:rsid w:val="00854500"/>
    <w:rsid w:val="00871D86"/>
    <w:rsid w:val="00886BE3"/>
    <w:rsid w:val="00892D71"/>
    <w:rsid w:val="008C19FF"/>
    <w:rsid w:val="008D01C4"/>
    <w:rsid w:val="008E1CBA"/>
    <w:rsid w:val="008E30F2"/>
    <w:rsid w:val="008E4268"/>
    <w:rsid w:val="008E6A2E"/>
    <w:rsid w:val="008F502F"/>
    <w:rsid w:val="00907401"/>
    <w:rsid w:val="00921C02"/>
    <w:rsid w:val="009273FF"/>
    <w:rsid w:val="00931CA5"/>
    <w:rsid w:val="00934B96"/>
    <w:rsid w:val="009365C7"/>
    <w:rsid w:val="00950EBB"/>
    <w:rsid w:val="009547E0"/>
    <w:rsid w:val="009562F6"/>
    <w:rsid w:val="00960B26"/>
    <w:rsid w:val="009758AD"/>
    <w:rsid w:val="009A4274"/>
    <w:rsid w:val="009D7009"/>
    <w:rsid w:val="009E515D"/>
    <w:rsid w:val="009F3566"/>
    <w:rsid w:val="009F55F4"/>
    <w:rsid w:val="00A60E51"/>
    <w:rsid w:val="00A65C96"/>
    <w:rsid w:val="00A742E1"/>
    <w:rsid w:val="00A84159"/>
    <w:rsid w:val="00A84454"/>
    <w:rsid w:val="00A95335"/>
    <w:rsid w:val="00A96D3F"/>
    <w:rsid w:val="00AB4A9C"/>
    <w:rsid w:val="00AC3AB1"/>
    <w:rsid w:val="00AC7414"/>
    <w:rsid w:val="00AD386D"/>
    <w:rsid w:val="00AE5401"/>
    <w:rsid w:val="00AF5D7E"/>
    <w:rsid w:val="00B13CEB"/>
    <w:rsid w:val="00B352F9"/>
    <w:rsid w:val="00B66388"/>
    <w:rsid w:val="00B73BBF"/>
    <w:rsid w:val="00B86583"/>
    <w:rsid w:val="00BA0368"/>
    <w:rsid w:val="00BA0A6F"/>
    <w:rsid w:val="00BA4B6F"/>
    <w:rsid w:val="00BB0AB7"/>
    <w:rsid w:val="00BB2822"/>
    <w:rsid w:val="00BD71FD"/>
    <w:rsid w:val="00BE588D"/>
    <w:rsid w:val="00C10BC1"/>
    <w:rsid w:val="00C32839"/>
    <w:rsid w:val="00C378D9"/>
    <w:rsid w:val="00C50343"/>
    <w:rsid w:val="00C81BB1"/>
    <w:rsid w:val="00C81C00"/>
    <w:rsid w:val="00C92344"/>
    <w:rsid w:val="00C92544"/>
    <w:rsid w:val="00C95317"/>
    <w:rsid w:val="00CA5EAB"/>
    <w:rsid w:val="00CB2201"/>
    <w:rsid w:val="00CC551A"/>
    <w:rsid w:val="00CD0F58"/>
    <w:rsid w:val="00CE0A0F"/>
    <w:rsid w:val="00CF77F3"/>
    <w:rsid w:val="00D147E7"/>
    <w:rsid w:val="00D148EA"/>
    <w:rsid w:val="00D1750A"/>
    <w:rsid w:val="00D42A1F"/>
    <w:rsid w:val="00D472E5"/>
    <w:rsid w:val="00D51D02"/>
    <w:rsid w:val="00D53E78"/>
    <w:rsid w:val="00D57E98"/>
    <w:rsid w:val="00D735C8"/>
    <w:rsid w:val="00D77994"/>
    <w:rsid w:val="00D81902"/>
    <w:rsid w:val="00D927A8"/>
    <w:rsid w:val="00D95055"/>
    <w:rsid w:val="00D964DB"/>
    <w:rsid w:val="00DB7E76"/>
    <w:rsid w:val="00DC190E"/>
    <w:rsid w:val="00DD155B"/>
    <w:rsid w:val="00DD1B5C"/>
    <w:rsid w:val="00E015D1"/>
    <w:rsid w:val="00E04249"/>
    <w:rsid w:val="00E104FF"/>
    <w:rsid w:val="00E11373"/>
    <w:rsid w:val="00E1549F"/>
    <w:rsid w:val="00E16AF0"/>
    <w:rsid w:val="00E17D9E"/>
    <w:rsid w:val="00E27FDA"/>
    <w:rsid w:val="00E74C0F"/>
    <w:rsid w:val="00E77C65"/>
    <w:rsid w:val="00E82308"/>
    <w:rsid w:val="00E956AE"/>
    <w:rsid w:val="00EA0BA8"/>
    <w:rsid w:val="00EA1C3B"/>
    <w:rsid w:val="00EA3E27"/>
    <w:rsid w:val="00EC05FD"/>
    <w:rsid w:val="00F32976"/>
    <w:rsid w:val="00F51480"/>
    <w:rsid w:val="00F60B5F"/>
    <w:rsid w:val="00F63639"/>
    <w:rsid w:val="00F63E6F"/>
    <w:rsid w:val="00F64842"/>
    <w:rsid w:val="00F64A3B"/>
    <w:rsid w:val="00FA131A"/>
    <w:rsid w:val="00FB09DD"/>
    <w:rsid w:val="00FB4D74"/>
    <w:rsid w:val="00FC6BF8"/>
    <w:rsid w:val="00FE173F"/>
    <w:rsid w:val="00F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148</cp:revision>
  <cp:lastPrinted>2014-01-28T16:02:00Z</cp:lastPrinted>
  <dcterms:created xsi:type="dcterms:W3CDTF">2014-01-10T14:00:00Z</dcterms:created>
  <dcterms:modified xsi:type="dcterms:W3CDTF">2014-01-31T15:50:00Z</dcterms:modified>
</cp:coreProperties>
</file>