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9F3566" w:rsidP="00EA3E2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352F9"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55302B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>Fecha: 2</w:t>
            </w:r>
            <w:r w:rsidR="0055302B">
              <w:rPr>
                <w:rFonts w:ascii="Arial" w:hAnsi="Arial" w:cs="Arial"/>
                <w:b/>
                <w:lang w:val="es-PE" w:eastAsia="es-PE"/>
              </w:rPr>
              <w:t>8</w:t>
            </w:r>
            <w:r w:rsidR="00BA0A6F">
              <w:rPr>
                <w:rFonts w:ascii="Arial" w:hAnsi="Arial" w:cs="Arial"/>
                <w:b/>
                <w:lang w:val="es-PE" w:eastAsia="es-PE"/>
              </w:rPr>
              <w:t xml:space="preserve"> 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>de enero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B352F9" w:rsidRDefault="00B352F9" w:rsidP="00EA3E27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B352F9" w:rsidRDefault="00694665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DISPOSICIONES EN</w:t>
      </w:r>
      <w:r w:rsidR="00533245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C81BB1">
        <w:rPr>
          <w:rFonts w:ascii="Arial" w:hAnsi="Arial" w:cs="Arial"/>
          <w:b/>
          <w:sz w:val="22"/>
          <w:szCs w:val="22"/>
          <w:lang w:val="es-PE"/>
        </w:rPr>
        <w:t>EL PODER LEGISLATIVO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2412"/>
        <w:gridCol w:w="6311"/>
      </w:tblGrid>
      <w:tr w:rsidR="00B352F9" w:rsidTr="00E17D9E">
        <w:tc>
          <w:tcPr>
            <w:tcW w:w="251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311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B13CEB">
        <w:trPr>
          <w:trHeight w:val="703"/>
        </w:trPr>
        <w:tc>
          <w:tcPr>
            <w:tcW w:w="2518" w:type="dxa"/>
            <w:vAlign w:val="center"/>
          </w:tcPr>
          <w:p w:rsidR="00B352F9" w:rsidRPr="004A5A18" w:rsidRDefault="00B352F9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352F9" w:rsidRPr="004A5A18" w:rsidRDefault="00F64842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Ley</w:t>
            </w:r>
            <w:r w:rsidR="00E04249" w:rsidRPr="004A5A18">
              <w:rPr>
                <w:rFonts w:ascii="Arial" w:hAnsi="Arial" w:cs="Arial"/>
                <w:sz w:val="21"/>
                <w:szCs w:val="21"/>
              </w:rPr>
              <w:t xml:space="preserve"> Nº </w:t>
            </w:r>
            <w:r>
              <w:rPr>
                <w:rFonts w:ascii="Arial" w:hAnsi="Arial" w:cs="Arial"/>
                <w:sz w:val="21"/>
                <w:szCs w:val="21"/>
              </w:rPr>
              <w:t>30161</w:t>
            </w:r>
          </w:p>
          <w:p w:rsidR="009365C7" w:rsidRPr="004A5A18" w:rsidRDefault="00D53E78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16E2">
              <w:rPr>
                <w:rFonts w:ascii="Arial" w:hAnsi="Arial" w:cs="Arial"/>
                <w:sz w:val="21"/>
                <w:szCs w:val="21"/>
              </w:rPr>
              <w:t>(2</w:t>
            </w:r>
            <w:r w:rsidR="002316E2" w:rsidRPr="002316E2">
              <w:rPr>
                <w:rFonts w:ascii="Arial" w:hAnsi="Arial" w:cs="Arial"/>
                <w:sz w:val="21"/>
                <w:szCs w:val="21"/>
              </w:rPr>
              <w:t>7</w:t>
            </w:r>
            <w:r w:rsidR="00484BFD" w:rsidRPr="002316E2">
              <w:rPr>
                <w:rFonts w:ascii="Arial" w:hAnsi="Arial" w:cs="Arial"/>
                <w:sz w:val="21"/>
                <w:szCs w:val="21"/>
              </w:rPr>
              <w:t>/</w:t>
            </w:r>
            <w:r w:rsidR="002316E2" w:rsidRPr="002316E2">
              <w:rPr>
                <w:rFonts w:ascii="Arial" w:hAnsi="Arial" w:cs="Arial"/>
                <w:sz w:val="21"/>
                <w:szCs w:val="21"/>
              </w:rPr>
              <w:t>01</w:t>
            </w:r>
            <w:r w:rsidR="009365C7" w:rsidRPr="002316E2">
              <w:rPr>
                <w:rFonts w:ascii="Arial" w:hAnsi="Arial" w:cs="Arial"/>
                <w:sz w:val="21"/>
                <w:szCs w:val="21"/>
              </w:rPr>
              <w:t>/201</w:t>
            </w:r>
            <w:r w:rsidR="002316E2" w:rsidRPr="002316E2">
              <w:rPr>
                <w:rFonts w:ascii="Arial" w:hAnsi="Arial" w:cs="Arial"/>
                <w:sz w:val="21"/>
                <w:szCs w:val="21"/>
              </w:rPr>
              <w:t>4</w:t>
            </w:r>
            <w:r w:rsidR="009365C7" w:rsidRPr="002316E2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B352F9" w:rsidRPr="004A5A18" w:rsidRDefault="00B352F9" w:rsidP="00EA3E2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A5A1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B352F9" w:rsidRPr="004A5A18" w:rsidRDefault="00B352F9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365C7" w:rsidRPr="004A5A18" w:rsidRDefault="00F64842" w:rsidP="005332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Ley que regula la presentación de declaración jurada de ingresos, bienes y rentas de los funcionarios y servidores públicos del Estado</w:t>
            </w:r>
          </w:p>
        </w:tc>
        <w:tc>
          <w:tcPr>
            <w:tcW w:w="2412" w:type="dxa"/>
            <w:vAlign w:val="center"/>
          </w:tcPr>
          <w:p w:rsidR="00B352F9" w:rsidRPr="004A5A18" w:rsidRDefault="00F64842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Congreso de la República</w:t>
            </w:r>
          </w:p>
        </w:tc>
        <w:tc>
          <w:tcPr>
            <w:tcW w:w="6311" w:type="dxa"/>
            <w:vAlign w:val="center"/>
          </w:tcPr>
          <w:p w:rsidR="00CC551A" w:rsidRPr="004A5A18" w:rsidRDefault="00CC551A" w:rsidP="00CC551A">
            <w:pPr>
              <w:pStyle w:val="NormalWeb"/>
              <w:spacing w:before="0" w:beforeAutospacing="0" w:after="0" w:afterAutospacing="0"/>
              <w:rPr>
                <w:color w:val="auto"/>
                <w:sz w:val="21"/>
                <w:szCs w:val="21"/>
                <w:lang w:eastAsia="es-PE"/>
              </w:rPr>
            </w:pPr>
          </w:p>
          <w:p w:rsidR="00DD1B5C" w:rsidRPr="00F63639" w:rsidRDefault="00F64842" w:rsidP="00DD1B5C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El objeto de la presente Ley es regular la obligación de presentar </w:t>
            </w:r>
            <w:r>
              <w:rPr>
                <w:rFonts w:ascii="Arial" w:hAnsi="Arial" w:cs="Arial"/>
                <w:sz w:val="21"/>
                <w:szCs w:val="21"/>
              </w:rPr>
              <w:t>declaración jurada de ingresos, bienes y rentas por parte de los funcionarios y servidores públicos indicados en esta norma, así como de aquellos que administran, manejan, disponen de fondos o bienes del Estado o de organismos sostenidos por este o participan en la toma de decisiones que afectan su patrimonio, independientemente del régimen bajo el cual laboran, contratan o se relacionan con el Estado, con el fin de conocer y posibilitar la evaluación de su situación y evolución patrimonial y financiera. Asimismo, se establecen los mecanismos para su publicación.</w:t>
            </w:r>
          </w:p>
          <w:p w:rsidR="00F63639" w:rsidRPr="00F64842" w:rsidRDefault="00F63639" w:rsidP="00F63639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F64842" w:rsidRPr="00F63639" w:rsidRDefault="00F63639" w:rsidP="00DD1B5C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Entre los sujetos obligados a presentar declaración jurada, debemos resaltar:</w:t>
            </w:r>
          </w:p>
          <w:p w:rsidR="00F63639" w:rsidRPr="00F63639" w:rsidRDefault="00F63639" w:rsidP="00F63639">
            <w:pPr>
              <w:pStyle w:val="Prrafodelista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F63639" w:rsidRDefault="00F63639" w:rsidP="00F6363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Los titulares de la máxima instancia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presidentes y miembros de los consejos directivos o consultivos y tribunales u órganos resolutivos de los </w:t>
            </w:r>
            <w:r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organismos públicos ejecutores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, reguladores y técnicos especializados, según corresponda.</w:t>
            </w:r>
          </w:p>
          <w:p w:rsidR="00F63639" w:rsidRDefault="00F63639" w:rsidP="00F6363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Los funcionarios de alta dirección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gerente general, </w:t>
            </w:r>
            <w:r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directores,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gerentes, </w:t>
            </w:r>
            <w:r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 xml:space="preserve">jefes de unidades u oficinas y demás funcionarios que ejerzan cargos </w:t>
            </w:r>
            <w:r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lastRenderedPageBreak/>
              <w:t>de confianza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o responsabilidad direct</w:t>
            </w:r>
            <w:r w:rsidR="00AE5401">
              <w:rPr>
                <w:rFonts w:ascii="Arial" w:hAnsi="Arial" w:cs="Arial"/>
                <w:sz w:val="21"/>
                <w:szCs w:val="21"/>
                <w:lang w:val="es-PE" w:eastAsia="en-US"/>
              </w:rPr>
              <w:t>iv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 en las entidades relacionadas con los obligados indicados en los literales precedentes de la presente norma</w:t>
            </w:r>
            <w:r w:rsidR="00921C0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así como los </w:t>
            </w:r>
            <w:r w:rsidR="00921C02"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titulares o encargados de los sistemas  de planeamiento, tesorería, presupuesto, contabilidad, control, logística y abastecimiento del sector público</w:t>
            </w:r>
            <w:r w:rsidR="00921C02">
              <w:rPr>
                <w:rFonts w:ascii="Arial" w:hAnsi="Arial" w:cs="Arial"/>
                <w:sz w:val="21"/>
                <w:szCs w:val="21"/>
                <w:lang w:val="es-PE" w:eastAsia="en-US"/>
              </w:rPr>
              <w:t>.</w:t>
            </w:r>
          </w:p>
          <w:p w:rsidR="00871D86" w:rsidRDefault="00871D86" w:rsidP="00F6363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Los asesores y consultores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las personas y entidades mencionadas</w:t>
            </w:r>
            <w:r w:rsidR="00AE5401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anteriormente, así como los asesores y consultores de funcionarios de organismos sostenidos por el Estado que tengan vínculo laboral con estos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.</w:t>
            </w:r>
          </w:p>
          <w:p w:rsidR="00871D86" w:rsidRDefault="00871D86" w:rsidP="00F6363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Aquellos que, en el ejercicio de su cargo o labor o función, </w:t>
            </w:r>
            <w:r w:rsidRPr="005945CB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sean responsables de la preparación de bases de procesos de contratación pública, los integrantes de los comités especiales de selección de dichos procesos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, los responsables de la preparación de informes que determinen o influyan en el gasto público, o aquellos que determinen a los beneficiarios de programas sociales a cargo del Estado o que aprueben los proyectos de los núcleos ejecutores, en los tres niveles de gobierno.</w:t>
            </w:r>
          </w:p>
          <w:p w:rsidR="00A65C96" w:rsidRDefault="00A65C96" w:rsidP="00A65C96">
            <w:p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1812C2" w:rsidRDefault="004A4C5B" w:rsidP="001812C2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4A4C5B">
              <w:rPr>
                <w:rFonts w:ascii="Arial" w:hAnsi="Arial" w:cs="Arial"/>
                <w:sz w:val="21"/>
                <w:szCs w:val="21"/>
                <w:lang w:val="es-PE" w:eastAsia="en-US"/>
              </w:rPr>
              <w:t>La declaración jurad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 contiene debidamente especifi</w:t>
            </w:r>
            <w:r w:rsidRPr="004A4C5B">
              <w:rPr>
                <w:rFonts w:ascii="Arial" w:hAnsi="Arial" w:cs="Arial"/>
                <w:sz w:val="21"/>
                <w:szCs w:val="21"/>
                <w:lang w:val="es-PE" w:eastAsia="en-US"/>
              </w:rPr>
              <w:t>cados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4A4C5B">
              <w:rPr>
                <w:rFonts w:ascii="Arial" w:hAnsi="Arial" w:cs="Arial"/>
                <w:sz w:val="21"/>
                <w:szCs w:val="21"/>
                <w:lang w:val="es-PE" w:eastAsia="en-US"/>
              </w:rPr>
              <w:t>y valorizados, tanto en el país como en el extranjero:</w:t>
            </w:r>
          </w:p>
          <w:p w:rsidR="001812C2" w:rsidRDefault="004A4C5B" w:rsidP="001812C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Los ingresos, rentas, bienes, ahorros, inversiones,</w:t>
            </w:r>
            <w:r w:rsid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acreencias y pasivos, propios del obligado y</w:t>
            </w:r>
            <w:r w:rsid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comunes del matrimonio, siempre que el régimen</w:t>
            </w:r>
            <w:r w:rsid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patrimonial sea el de sociedad de gananciales.</w:t>
            </w:r>
          </w:p>
          <w:p w:rsidR="004A4C5B" w:rsidRPr="001812C2" w:rsidRDefault="001812C2" w:rsidP="001812C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La especifi</w:t>
            </w:r>
            <w:r w:rsidR="004A4C5B"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cación de derechos o participaciones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4A4C5B"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propios del obligado y comunes del matrimonio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4A4C5B"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que mantengan con empresas, corporaciones,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4A4C5B"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sociedades, asociaciones, fundaciones o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4A4C5B"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cualquier otra forma asociativa privada, siempre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4A4C5B"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que el régimen patrimonial sea el de sociedad de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4A4C5B"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gananciales.</w:t>
            </w:r>
          </w:p>
          <w:p w:rsidR="004A4C5B" w:rsidRDefault="004A4C5B" w:rsidP="001812C2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BE588D" w:rsidRDefault="001812C2" w:rsidP="00BE588D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La información que se va a declarar, se consigna en el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formato único que para tal efecto apruebe la Presidencia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del Consejo de Ministros, a propuesta de la Contraloría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General de la República</w:t>
            </w:r>
            <w:r w:rsidRPr="001812C2">
              <w:rPr>
                <w:rFonts w:ascii="Arial" w:hAnsi="Arial" w:cs="Arial"/>
                <w:sz w:val="21"/>
                <w:szCs w:val="21"/>
                <w:lang w:val="es-PE" w:eastAsia="en-US"/>
              </w:rPr>
              <w:t>.</w:t>
            </w:r>
          </w:p>
          <w:p w:rsidR="0053630B" w:rsidRDefault="0053630B" w:rsidP="0053630B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53630B" w:rsidRPr="00683C4F" w:rsidRDefault="0053630B" w:rsidP="00BE588D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La declaración jurada la presentan los obligados a la Contraloría General de la República, a través de la dirección general de administración</w:t>
            </w:r>
            <w:r w:rsidR="00FB4D74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la entidad, al inicio, durante el ejercicio y al término de la gestión al cargo que ejerzan. </w:t>
            </w:r>
            <w:r w:rsidR="00FB4D74"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La presentación de la declaración jurada es requisito indispensable para el ejercicio del cargo, bajo responsabilidad de quien lo designe</w:t>
            </w:r>
            <w:r w:rsidR="00D57E98"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, nombre o contrate</w:t>
            </w:r>
            <w:r w:rsidR="00FB4D74"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.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 xml:space="preserve"> </w:t>
            </w:r>
          </w:p>
          <w:p w:rsidR="00BE588D" w:rsidRDefault="00BE588D" w:rsidP="00BE588D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BE588D" w:rsidRPr="00BE588D" w:rsidRDefault="00BE588D" w:rsidP="00BE588D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BE588D">
              <w:rPr>
                <w:rFonts w:ascii="Arial" w:hAnsi="Arial" w:cs="Arial"/>
                <w:sz w:val="21"/>
                <w:szCs w:val="21"/>
                <w:lang w:val="es-PE" w:eastAsia="en-US"/>
              </w:rPr>
              <w:t>La dirección general de administración o la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BE588D">
              <w:rPr>
                <w:rFonts w:ascii="Arial" w:hAnsi="Arial" w:cs="Arial"/>
                <w:sz w:val="21"/>
                <w:szCs w:val="21"/>
                <w:lang w:val="es-PE" w:eastAsia="en-US"/>
              </w:rPr>
              <w:t>dependencia que haga sus veces remite a la Contraloría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BE588D">
              <w:rPr>
                <w:rFonts w:ascii="Arial" w:hAnsi="Arial" w:cs="Arial"/>
                <w:sz w:val="21"/>
                <w:szCs w:val="21"/>
                <w:lang w:val="es-PE" w:eastAsia="en-US"/>
              </w:rPr>
              <w:t>General de la Rep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ública las declaraciones juradas </w:t>
            </w:r>
            <w:r w:rsidRPr="00BE588D">
              <w:rPr>
                <w:rFonts w:ascii="Arial" w:hAnsi="Arial" w:cs="Arial"/>
                <w:sz w:val="21"/>
                <w:szCs w:val="21"/>
                <w:lang w:val="es-PE" w:eastAsia="en-US"/>
              </w:rPr>
              <w:t>presentadas por los obligados, en el plazo que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BE588D">
              <w:rPr>
                <w:rFonts w:ascii="Arial" w:hAnsi="Arial" w:cs="Arial"/>
                <w:sz w:val="21"/>
                <w:szCs w:val="21"/>
                <w:lang w:val="es-PE" w:eastAsia="en-US"/>
              </w:rPr>
              <w:t>establezca el reglamento.</w:t>
            </w:r>
          </w:p>
          <w:p w:rsidR="001812C2" w:rsidRDefault="001812C2" w:rsidP="001812C2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A65C96" w:rsidRDefault="002172A7" w:rsidP="00A65C96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El director general de Administración, o el de la dependencia que haga sus veces en la entidad, es el responsable de publicar en el diario oficial El Peruano las declaraciones juradas presentadas por los obligados, de acuerdo con l</w:t>
            </w:r>
            <w:r w:rsid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>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sección pública del formato único que para dicho efecto se apruebe. </w:t>
            </w:r>
          </w:p>
          <w:p w:rsidR="004A4C5B" w:rsidRDefault="002172A7" w:rsidP="004A4C5B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Las entidades que cuenten con portal institucional publican, de forma complementaria</w:t>
            </w:r>
            <w:r w:rsidR="004A4C5B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y adicional, la sección pública que contiene el formato único de la declaración jurada. </w:t>
            </w:r>
          </w:p>
          <w:p w:rsidR="004A4C5B" w:rsidRDefault="004A4C5B" w:rsidP="004A4C5B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4A4C5B" w:rsidRDefault="004A4C5B" w:rsidP="004A4C5B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Las sanciones administrativas a las que se refiere la presente Ley, se aplican con independencia de la responsabilidad civil o penal a que hubiera lugar.</w:t>
            </w:r>
          </w:p>
          <w:p w:rsidR="004A4C5B" w:rsidRDefault="004A4C5B" w:rsidP="004A4C5B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FA131A" w:rsidRDefault="004A4C5B" w:rsidP="00FA131A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4A4C5B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La facultad de interpretación sobre los sujetos obligados a presentar la declaración jurada, la determinará por la </w:t>
            </w:r>
            <w:r w:rsidRPr="004A4C5B">
              <w:rPr>
                <w:rFonts w:ascii="Arial" w:hAnsi="Arial" w:cs="Arial"/>
                <w:sz w:val="21"/>
                <w:szCs w:val="21"/>
                <w:lang w:val="es-PE" w:eastAsia="en-US"/>
              </w:rPr>
              <w:lastRenderedPageBreak/>
              <w:t>Contraloría General de la República, siempre y cuando lo solicite la oficina general de administración o la dependencia respectiva, previa opinión motivada de esta.</w:t>
            </w:r>
          </w:p>
          <w:p w:rsidR="00FA131A" w:rsidRPr="00FA131A" w:rsidRDefault="00FA131A" w:rsidP="00FA131A">
            <w:pPr>
              <w:pStyle w:val="Prrafodelista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FA131A" w:rsidRPr="00FA131A" w:rsidRDefault="00FA131A" w:rsidP="00FA131A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lang w:eastAsia="es-PE"/>
              </w:rPr>
            </w:pP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>El Poder Ejecutivo aprueba el reglamento respectivo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dentro de los noventa (90) días hábiles </w:t>
            </w:r>
            <w:r w:rsidR="00683C4F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siguientes </w:t>
            </w:r>
            <w:r w:rsidR="00CE0A0F">
              <w:rPr>
                <w:rFonts w:ascii="Arial" w:hAnsi="Arial" w:cs="Arial"/>
                <w:sz w:val="21"/>
                <w:szCs w:val="21"/>
                <w:lang w:val="es-PE" w:eastAsia="en-US"/>
              </w:rPr>
              <w:t>al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CE0A0F">
              <w:rPr>
                <w:rFonts w:ascii="Arial" w:hAnsi="Arial" w:cs="Arial"/>
                <w:sz w:val="21"/>
                <w:szCs w:val="21"/>
                <w:lang w:val="es-PE" w:eastAsia="en-US"/>
              </w:rPr>
              <w:t>28 de enero de 2014.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</w:p>
          <w:p w:rsidR="00FA131A" w:rsidRPr="00FA131A" w:rsidRDefault="00FA131A" w:rsidP="00FA131A">
            <w:pPr>
              <w:pStyle w:val="Prrafodelista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E956AE" w:rsidRPr="00683C4F" w:rsidRDefault="00FA131A" w:rsidP="00E956AE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b/>
                <w:lang w:eastAsia="es-PE"/>
              </w:rPr>
            </w:pP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>En tanto se apruebe el formato único de la declaración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>jurada, así como el formato de presentación de la relación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de obligados e informe sobre sus ingresos, 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los obligados y funcionarios responsables siguen utilizando y presentando el formato único establecido por el reglamento de la Ley Nº 27482</w:t>
            </w: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>, Ley que Regula la publicación de la Declaración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>Jurada de Ingresos y de Bienes y Rentas de los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FA131A">
              <w:rPr>
                <w:rFonts w:ascii="Arial" w:hAnsi="Arial" w:cs="Arial"/>
                <w:sz w:val="21"/>
                <w:szCs w:val="21"/>
                <w:lang w:val="es-PE" w:eastAsia="en-US"/>
              </w:rPr>
              <w:t>Funcionarios y Servidores Públicos del Estado, aprobado</w:t>
            </w:r>
            <w:r w:rsidR="00735599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735599">
              <w:rPr>
                <w:rFonts w:ascii="Arial" w:hAnsi="Arial" w:cs="Arial"/>
                <w:sz w:val="21"/>
                <w:szCs w:val="21"/>
                <w:lang w:val="es-PE" w:eastAsia="en-US"/>
              </w:rPr>
              <w:t>por el Decreto Supremo 080-200</w:t>
            </w:r>
            <w:r w:rsidR="00735599">
              <w:rPr>
                <w:rFonts w:ascii="Arial" w:hAnsi="Arial" w:cs="Arial"/>
                <w:sz w:val="21"/>
                <w:szCs w:val="21"/>
                <w:lang w:val="es-PE" w:eastAsia="en-US"/>
              </w:rPr>
              <w:t>1-PCM (modifi</w:t>
            </w:r>
            <w:r w:rsidRPr="00735599">
              <w:rPr>
                <w:rFonts w:ascii="Arial" w:hAnsi="Arial" w:cs="Arial"/>
                <w:sz w:val="21"/>
                <w:szCs w:val="21"/>
                <w:lang w:val="es-PE" w:eastAsia="en-US"/>
              </w:rPr>
              <w:t>cado por</w:t>
            </w:r>
            <w:r w:rsidR="00735599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Pr="00735599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el Decreto Supremo 047-2004-PCM), 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así como el formato</w:t>
            </w:r>
            <w:r w:rsidR="00735599"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 xml:space="preserve"> 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establecido en la Directiva 02-2002-CG/AC (aprobada</w:t>
            </w:r>
            <w:r w:rsidR="00735599"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 xml:space="preserve"> 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por la Resoluc</w:t>
            </w:r>
            <w:r w:rsidR="00735599"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ión de Contraloría 174-2002-CG), en los plazos y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 xml:space="preserve"> forma establecidos en</w:t>
            </w:r>
            <w:r w:rsidR="00735599"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 xml:space="preserve"> 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los citados dispositivos.</w:t>
            </w:r>
          </w:p>
          <w:p w:rsidR="00E956AE" w:rsidRPr="00E956AE" w:rsidRDefault="00E956AE" w:rsidP="00E956AE">
            <w:pPr>
              <w:pStyle w:val="Prrafodelista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E956AE" w:rsidRDefault="00E956AE" w:rsidP="00E956AE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CD0F58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El Congreso de la República, </w:t>
            </w:r>
            <w:r w:rsidRPr="00683C4F">
              <w:rPr>
                <w:rFonts w:ascii="Arial" w:hAnsi="Arial" w:cs="Arial"/>
                <w:sz w:val="21"/>
                <w:szCs w:val="21"/>
                <w:u w:val="single"/>
                <w:lang w:val="es-PE" w:eastAsia="en-US"/>
              </w:rPr>
              <w:t>los tres niveles de gobierno</w:t>
            </w:r>
            <w:r w:rsidRPr="00CD0F58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y los organismos constitucionales autónomos proceden en un plazo no mayor de 180 días calendario a adecuar u homologar en sus respectivas normas las conductas infractoras y sanciones establecidas en la presente Ley</w:t>
            </w:r>
            <w:r w:rsidR="00CD0F58">
              <w:rPr>
                <w:rFonts w:ascii="Arial" w:hAnsi="Arial" w:cs="Arial"/>
                <w:sz w:val="21"/>
                <w:szCs w:val="21"/>
                <w:lang w:val="es-PE" w:eastAsia="en-US"/>
              </w:rPr>
              <w:t>.</w:t>
            </w:r>
          </w:p>
          <w:p w:rsidR="00CD0F58" w:rsidRPr="00CD0F58" w:rsidRDefault="00CD0F58" w:rsidP="00CD0F58">
            <w:pPr>
              <w:pStyle w:val="Prrafodelista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683C4F" w:rsidRPr="00E956AE" w:rsidRDefault="00E956AE" w:rsidP="00683C4F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i/>
                <w:sz w:val="21"/>
                <w:szCs w:val="21"/>
                <w:lang w:val="es-PE" w:eastAsia="en-US"/>
              </w:rPr>
            </w:pPr>
            <w:r w:rsidRPr="00E956AE">
              <w:rPr>
                <w:rFonts w:ascii="Arial" w:hAnsi="Arial" w:cs="Arial"/>
                <w:sz w:val="21"/>
                <w:szCs w:val="21"/>
                <w:lang w:val="es-PE" w:eastAsia="en-US"/>
              </w:rPr>
              <w:t>Se modifica el artículo 235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º</w:t>
            </w:r>
            <w:r w:rsidRPr="00E956AE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del Código Procesal Civil, </w:t>
            </w:r>
            <w:r w:rsidR="00683C4F">
              <w:rPr>
                <w:rFonts w:ascii="Arial" w:hAnsi="Arial" w:cs="Arial"/>
                <w:sz w:val="21"/>
                <w:szCs w:val="21"/>
                <w:lang w:val="es-PE" w:eastAsia="en-US"/>
              </w:rPr>
              <w:t>estableciendo que es documento público, todo aquel al que las leyes especiales le otorguen dicha condición</w:t>
            </w:r>
          </w:p>
          <w:p w:rsidR="00E956AE" w:rsidRPr="00E956AE" w:rsidRDefault="00E956AE" w:rsidP="00E956A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931CA5" w:rsidRPr="00D147E7" w:rsidRDefault="00E956AE" w:rsidP="00D147E7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E956AE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Se deroga la Ley Nº 27482, Ley que Regula la publicación de </w:t>
            </w:r>
            <w:r w:rsidRPr="00E956AE">
              <w:rPr>
                <w:rFonts w:ascii="Arial" w:hAnsi="Arial" w:cs="Arial"/>
                <w:sz w:val="21"/>
                <w:szCs w:val="21"/>
                <w:lang w:val="es-PE" w:eastAsia="en-US"/>
              </w:rPr>
              <w:lastRenderedPageBreak/>
              <w:t xml:space="preserve">la Declaración Jurada de Ingresos y de Bienes y Rentas de los Funcionarios y Servidores Públicos del Estado, respecto a su reglamento, así como aquellas disposiciones que se opongan a la presente Ley, </w:t>
            </w:r>
            <w:r w:rsidRPr="00683C4F">
              <w:rPr>
                <w:rFonts w:ascii="Arial" w:hAnsi="Arial" w:cs="Arial"/>
                <w:b/>
                <w:sz w:val="21"/>
                <w:szCs w:val="21"/>
                <w:lang w:val="es-PE" w:eastAsia="en-US"/>
              </w:rPr>
              <w:t>las que mantendrán su vigencia hasta la aprobación del nuevo reglamento.</w:t>
            </w:r>
            <w:bookmarkStart w:id="0" w:name="_GoBack"/>
            <w:bookmarkEnd w:id="0"/>
          </w:p>
        </w:tc>
      </w:tr>
    </w:tbl>
    <w:p w:rsidR="006311F6" w:rsidRDefault="006311F6" w:rsidP="009A4274">
      <w:pPr>
        <w:spacing w:line="276" w:lineRule="auto"/>
      </w:pPr>
    </w:p>
    <w:sectPr w:rsidR="006311F6" w:rsidSect="004878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698"/>
    <w:multiLevelType w:val="hybridMultilevel"/>
    <w:tmpl w:val="89E6D110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2A27"/>
    <w:multiLevelType w:val="hybridMultilevel"/>
    <w:tmpl w:val="AE9871D0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146CF"/>
    <w:multiLevelType w:val="hybridMultilevel"/>
    <w:tmpl w:val="7FAC8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6387"/>
    <w:multiLevelType w:val="hybridMultilevel"/>
    <w:tmpl w:val="0EAE75C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30221D"/>
    <w:multiLevelType w:val="hybridMultilevel"/>
    <w:tmpl w:val="D5DE67A8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3526"/>
    <w:multiLevelType w:val="hybridMultilevel"/>
    <w:tmpl w:val="59B4D128"/>
    <w:lvl w:ilvl="0" w:tplc="0C0A0017">
      <w:start w:val="1"/>
      <w:numFmt w:val="lowerLetter"/>
      <w:lvlText w:val="%1)"/>
      <w:lvlJc w:val="left"/>
      <w:pPr>
        <w:ind w:left="103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6">
    <w:nsid w:val="1DEB74EC"/>
    <w:multiLevelType w:val="hybridMultilevel"/>
    <w:tmpl w:val="91F2667C"/>
    <w:lvl w:ilvl="0" w:tplc="E03E666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F948A8"/>
    <w:multiLevelType w:val="hybridMultilevel"/>
    <w:tmpl w:val="0FB4AA9A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1B73"/>
    <w:multiLevelType w:val="hybridMultilevel"/>
    <w:tmpl w:val="5E6E016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021F1"/>
    <w:multiLevelType w:val="hybridMultilevel"/>
    <w:tmpl w:val="961AFD68"/>
    <w:lvl w:ilvl="0" w:tplc="D06C6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6C7A"/>
    <w:multiLevelType w:val="hybridMultilevel"/>
    <w:tmpl w:val="0DBE6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F1310"/>
    <w:multiLevelType w:val="hybridMultilevel"/>
    <w:tmpl w:val="09AA3C52"/>
    <w:lvl w:ilvl="0" w:tplc="9B9055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6943C4"/>
    <w:multiLevelType w:val="hybridMultilevel"/>
    <w:tmpl w:val="1DDE393C"/>
    <w:lvl w:ilvl="0" w:tplc="22602E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914E9"/>
    <w:multiLevelType w:val="hybridMultilevel"/>
    <w:tmpl w:val="C9CC410E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65ECA"/>
    <w:multiLevelType w:val="hybridMultilevel"/>
    <w:tmpl w:val="6C685A0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4129E"/>
    <w:multiLevelType w:val="hybridMultilevel"/>
    <w:tmpl w:val="A4D041FA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061A1"/>
    <w:multiLevelType w:val="hybridMultilevel"/>
    <w:tmpl w:val="49C6A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8292C"/>
    <w:multiLevelType w:val="hybridMultilevel"/>
    <w:tmpl w:val="4B86A1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110A5"/>
    <w:multiLevelType w:val="hybridMultilevel"/>
    <w:tmpl w:val="5E6A6F54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95E3A"/>
    <w:multiLevelType w:val="hybridMultilevel"/>
    <w:tmpl w:val="C8F295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48A3"/>
    <w:multiLevelType w:val="hybridMultilevel"/>
    <w:tmpl w:val="B322ACBE"/>
    <w:lvl w:ilvl="0" w:tplc="9B9055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810CFE"/>
    <w:multiLevelType w:val="hybridMultilevel"/>
    <w:tmpl w:val="DA0EDBDC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8565D9"/>
    <w:multiLevelType w:val="hybridMultilevel"/>
    <w:tmpl w:val="6D945EF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567942"/>
    <w:multiLevelType w:val="multilevel"/>
    <w:tmpl w:val="62FCB2D6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73B4607"/>
    <w:multiLevelType w:val="hybridMultilevel"/>
    <w:tmpl w:val="60A4003A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C5A0B"/>
    <w:multiLevelType w:val="hybridMultilevel"/>
    <w:tmpl w:val="409038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B609AC"/>
    <w:multiLevelType w:val="hybridMultilevel"/>
    <w:tmpl w:val="332EEB08"/>
    <w:lvl w:ilvl="0" w:tplc="1140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90AB0"/>
    <w:multiLevelType w:val="hybridMultilevel"/>
    <w:tmpl w:val="69DA5E50"/>
    <w:lvl w:ilvl="0" w:tplc="9B9055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54745"/>
    <w:multiLevelType w:val="hybridMultilevel"/>
    <w:tmpl w:val="BFC0AF7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1807FE"/>
    <w:multiLevelType w:val="hybridMultilevel"/>
    <w:tmpl w:val="5DCCD0E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3E6729"/>
    <w:multiLevelType w:val="hybridMultilevel"/>
    <w:tmpl w:val="B5F28F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014FA8"/>
    <w:multiLevelType w:val="hybridMultilevel"/>
    <w:tmpl w:val="814E20D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6058EA"/>
    <w:multiLevelType w:val="hybridMultilevel"/>
    <w:tmpl w:val="ECFC07EE"/>
    <w:lvl w:ilvl="0" w:tplc="7250E6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7"/>
  </w:num>
  <w:num w:numId="8">
    <w:abstractNumId w:val="30"/>
  </w:num>
  <w:num w:numId="9">
    <w:abstractNumId w:val="29"/>
  </w:num>
  <w:num w:numId="10">
    <w:abstractNumId w:val="31"/>
  </w:num>
  <w:num w:numId="11">
    <w:abstractNumId w:val="28"/>
  </w:num>
  <w:num w:numId="12">
    <w:abstractNumId w:val="23"/>
  </w:num>
  <w:num w:numId="13">
    <w:abstractNumId w:val="12"/>
  </w:num>
  <w:num w:numId="14">
    <w:abstractNumId w:val="2"/>
  </w:num>
  <w:num w:numId="15">
    <w:abstractNumId w:val="15"/>
  </w:num>
  <w:num w:numId="16">
    <w:abstractNumId w:val="15"/>
  </w:num>
  <w:num w:numId="17">
    <w:abstractNumId w:val="8"/>
  </w:num>
  <w:num w:numId="18">
    <w:abstractNumId w:val="14"/>
  </w:num>
  <w:num w:numId="19">
    <w:abstractNumId w:val="32"/>
  </w:num>
  <w:num w:numId="20">
    <w:abstractNumId w:val="26"/>
  </w:num>
  <w:num w:numId="21">
    <w:abstractNumId w:val="11"/>
  </w:num>
  <w:num w:numId="22">
    <w:abstractNumId w:val="20"/>
  </w:num>
  <w:num w:numId="23">
    <w:abstractNumId w:val="3"/>
  </w:num>
  <w:num w:numId="24">
    <w:abstractNumId w:val="22"/>
  </w:num>
  <w:num w:numId="25">
    <w:abstractNumId w:val="25"/>
  </w:num>
  <w:num w:numId="26">
    <w:abstractNumId w:val="17"/>
  </w:num>
  <w:num w:numId="27">
    <w:abstractNumId w:val="24"/>
  </w:num>
  <w:num w:numId="28">
    <w:abstractNumId w:val="18"/>
  </w:num>
  <w:num w:numId="29">
    <w:abstractNumId w:val="13"/>
  </w:num>
  <w:num w:numId="30">
    <w:abstractNumId w:val="4"/>
  </w:num>
  <w:num w:numId="31">
    <w:abstractNumId w:val="19"/>
  </w:num>
  <w:num w:numId="32">
    <w:abstractNumId w:val="1"/>
  </w:num>
  <w:num w:numId="33">
    <w:abstractNumId w:val="16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31699"/>
    <w:rsid w:val="00086C61"/>
    <w:rsid w:val="00086DBC"/>
    <w:rsid w:val="000B6F8E"/>
    <w:rsid w:val="000C3302"/>
    <w:rsid w:val="000D098A"/>
    <w:rsid w:val="00102213"/>
    <w:rsid w:val="0011752F"/>
    <w:rsid w:val="0012188E"/>
    <w:rsid w:val="00132DD3"/>
    <w:rsid w:val="00167041"/>
    <w:rsid w:val="001812C2"/>
    <w:rsid w:val="00186C5B"/>
    <w:rsid w:val="001A0F57"/>
    <w:rsid w:val="001D08AD"/>
    <w:rsid w:val="001F5EF1"/>
    <w:rsid w:val="00205A79"/>
    <w:rsid w:val="0020774E"/>
    <w:rsid w:val="002172A7"/>
    <w:rsid w:val="002316E2"/>
    <w:rsid w:val="002708AA"/>
    <w:rsid w:val="00297248"/>
    <w:rsid w:val="002A56AE"/>
    <w:rsid w:val="002B52B2"/>
    <w:rsid w:val="002B6081"/>
    <w:rsid w:val="002C513A"/>
    <w:rsid w:val="002D49C8"/>
    <w:rsid w:val="002E092B"/>
    <w:rsid w:val="00301DC4"/>
    <w:rsid w:val="00302124"/>
    <w:rsid w:val="003030CA"/>
    <w:rsid w:val="00330136"/>
    <w:rsid w:val="00332CDB"/>
    <w:rsid w:val="00345AEC"/>
    <w:rsid w:val="00393D1E"/>
    <w:rsid w:val="003A1571"/>
    <w:rsid w:val="003B1448"/>
    <w:rsid w:val="003C50E7"/>
    <w:rsid w:val="003D2B34"/>
    <w:rsid w:val="003E49EA"/>
    <w:rsid w:val="003E7421"/>
    <w:rsid w:val="003F11BE"/>
    <w:rsid w:val="003F3A25"/>
    <w:rsid w:val="004042C6"/>
    <w:rsid w:val="00404A34"/>
    <w:rsid w:val="00406020"/>
    <w:rsid w:val="00421816"/>
    <w:rsid w:val="00424CFD"/>
    <w:rsid w:val="00442DEB"/>
    <w:rsid w:val="004653F0"/>
    <w:rsid w:val="00475E54"/>
    <w:rsid w:val="00484BFD"/>
    <w:rsid w:val="00485429"/>
    <w:rsid w:val="004878EF"/>
    <w:rsid w:val="004A4C5B"/>
    <w:rsid w:val="004A5A18"/>
    <w:rsid w:val="004C7A85"/>
    <w:rsid w:val="004D7882"/>
    <w:rsid w:val="004F4886"/>
    <w:rsid w:val="005119E4"/>
    <w:rsid w:val="005219C4"/>
    <w:rsid w:val="005235EF"/>
    <w:rsid w:val="00524D3C"/>
    <w:rsid w:val="00531867"/>
    <w:rsid w:val="00533245"/>
    <w:rsid w:val="00533CBD"/>
    <w:rsid w:val="0053630B"/>
    <w:rsid w:val="00540E7F"/>
    <w:rsid w:val="0054579F"/>
    <w:rsid w:val="0055302B"/>
    <w:rsid w:val="005626D0"/>
    <w:rsid w:val="00563C45"/>
    <w:rsid w:val="00572CA2"/>
    <w:rsid w:val="00576F1E"/>
    <w:rsid w:val="005945CB"/>
    <w:rsid w:val="005A457C"/>
    <w:rsid w:val="005D0BDC"/>
    <w:rsid w:val="005E6485"/>
    <w:rsid w:val="006311F6"/>
    <w:rsid w:val="006501D7"/>
    <w:rsid w:val="00653C9A"/>
    <w:rsid w:val="00667B43"/>
    <w:rsid w:val="00683877"/>
    <w:rsid w:val="00683C4F"/>
    <w:rsid w:val="00685FDF"/>
    <w:rsid w:val="00694665"/>
    <w:rsid w:val="006F2C13"/>
    <w:rsid w:val="00710C9F"/>
    <w:rsid w:val="007259CC"/>
    <w:rsid w:val="00727292"/>
    <w:rsid w:val="00730849"/>
    <w:rsid w:val="00735599"/>
    <w:rsid w:val="00792B9A"/>
    <w:rsid w:val="007A4090"/>
    <w:rsid w:val="007D246C"/>
    <w:rsid w:val="007D5857"/>
    <w:rsid w:val="007E1A26"/>
    <w:rsid w:val="007E4964"/>
    <w:rsid w:val="007F0B83"/>
    <w:rsid w:val="00806C13"/>
    <w:rsid w:val="0081343C"/>
    <w:rsid w:val="008229B9"/>
    <w:rsid w:val="008324F5"/>
    <w:rsid w:val="0084383F"/>
    <w:rsid w:val="00871D86"/>
    <w:rsid w:val="00886BE3"/>
    <w:rsid w:val="00892D71"/>
    <w:rsid w:val="008C19FF"/>
    <w:rsid w:val="008E1CBA"/>
    <w:rsid w:val="008E30F2"/>
    <w:rsid w:val="008E4268"/>
    <w:rsid w:val="008E6A2E"/>
    <w:rsid w:val="008F502F"/>
    <w:rsid w:val="00907401"/>
    <w:rsid w:val="00921C02"/>
    <w:rsid w:val="00931CA5"/>
    <w:rsid w:val="00934B96"/>
    <w:rsid w:val="009365C7"/>
    <w:rsid w:val="00950EBB"/>
    <w:rsid w:val="009547E0"/>
    <w:rsid w:val="009562F6"/>
    <w:rsid w:val="00960B26"/>
    <w:rsid w:val="009758AD"/>
    <w:rsid w:val="009A4274"/>
    <w:rsid w:val="009D7009"/>
    <w:rsid w:val="009E515D"/>
    <w:rsid w:val="009F3566"/>
    <w:rsid w:val="009F55F4"/>
    <w:rsid w:val="00A60E51"/>
    <w:rsid w:val="00A65C96"/>
    <w:rsid w:val="00A742E1"/>
    <w:rsid w:val="00A84454"/>
    <w:rsid w:val="00A95335"/>
    <w:rsid w:val="00A96D3F"/>
    <w:rsid w:val="00AB4A9C"/>
    <w:rsid w:val="00AC3AB1"/>
    <w:rsid w:val="00AC7414"/>
    <w:rsid w:val="00AD386D"/>
    <w:rsid w:val="00AE5401"/>
    <w:rsid w:val="00AF5D7E"/>
    <w:rsid w:val="00B13CEB"/>
    <w:rsid w:val="00B352F9"/>
    <w:rsid w:val="00B73BBF"/>
    <w:rsid w:val="00BA0368"/>
    <w:rsid w:val="00BA0A6F"/>
    <w:rsid w:val="00BB2822"/>
    <w:rsid w:val="00BE588D"/>
    <w:rsid w:val="00C10BC1"/>
    <w:rsid w:val="00C32839"/>
    <w:rsid w:val="00C378D9"/>
    <w:rsid w:val="00C50343"/>
    <w:rsid w:val="00C81BB1"/>
    <w:rsid w:val="00C81C00"/>
    <w:rsid w:val="00C92344"/>
    <w:rsid w:val="00C92544"/>
    <w:rsid w:val="00C95317"/>
    <w:rsid w:val="00CA5EAB"/>
    <w:rsid w:val="00CC551A"/>
    <w:rsid w:val="00CD0F58"/>
    <w:rsid w:val="00CE0A0F"/>
    <w:rsid w:val="00D147E7"/>
    <w:rsid w:val="00D148EA"/>
    <w:rsid w:val="00D42A1F"/>
    <w:rsid w:val="00D472E5"/>
    <w:rsid w:val="00D51D02"/>
    <w:rsid w:val="00D53E78"/>
    <w:rsid w:val="00D57E98"/>
    <w:rsid w:val="00D735C8"/>
    <w:rsid w:val="00D81902"/>
    <w:rsid w:val="00D927A8"/>
    <w:rsid w:val="00D964DB"/>
    <w:rsid w:val="00DB7E76"/>
    <w:rsid w:val="00DC190E"/>
    <w:rsid w:val="00DD155B"/>
    <w:rsid w:val="00DD1B5C"/>
    <w:rsid w:val="00E015D1"/>
    <w:rsid w:val="00E04249"/>
    <w:rsid w:val="00E104FF"/>
    <w:rsid w:val="00E11373"/>
    <w:rsid w:val="00E1549F"/>
    <w:rsid w:val="00E16AF0"/>
    <w:rsid w:val="00E17D9E"/>
    <w:rsid w:val="00E27FDA"/>
    <w:rsid w:val="00E74C0F"/>
    <w:rsid w:val="00E77C65"/>
    <w:rsid w:val="00E82308"/>
    <w:rsid w:val="00E956AE"/>
    <w:rsid w:val="00EA0BA8"/>
    <w:rsid w:val="00EA1C3B"/>
    <w:rsid w:val="00EA3E27"/>
    <w:rsid w:val="00EC05FD"/>
    <w:rsid w:val="00F32976"/>
    <w:rsid w:val="00F51480"/>
    <w:rsid w:val="00F60B5F"/>
    <w:rsid w:val="00F63639"/>
    <w:rsid w:val="00F64842"/>
    <w:rsid w:val="00F64A3B"/>
    <w:rsid w:val="00FA131A"/>
    <w:rsid w:val="00FB09DD"/>
    <w:rsid w:val="00FB4D74"/>
    <w:rsid w:val="00FC6BF8"/>
    <w:rsid w:val="00FE173F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990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126</cp:revision>
  <cp:lastPrinted>2014-01-28T16:02:00Z</cp:lastPrinted>
  <dcterms:created xsi:type="dcterms:W3CDTF">2014-01-10T14:00:00Z</dcterms:created>
  <dcterms:modified xsi:type="dcterms:W3CDTF">2014-01-28T16:33:00Z</dcterms:modified>
</cp:coreProperties>
</file>