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B2" w:rsidRDefault="00A212B2" w:rsidP="00A212B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REPORTE DE NORMAS LEGALES</w:t>
      </w:r>
    </w:p>
    <w:p w:rsidR="00A212B2" w:rsidRDefault="00A212B2" w:rsidP="00A212B2">
      <w:pPr>
        <w:spacing w:line="276" w:lineRule="auto"/>
        <w:rPr>
          <w:rFonts w:ascii="Arial" w:hAnsi="Arial" w:cs="Arial"/>
          <w:sz w:val="12"/>
          <w:szCs w:val="20"/>
        </w:rPr>
      </w:pPr>
    </w:p>
    <w:p w:rsidR="00A212B2" w:rsidRDefault="00A212B2" w:rsidP="00A212B2">
      <w:pPr>
        <w:spacing w:line="276" w:lineRule="auto"/>
        <w:rPr>
          <w:rFonts w:ascii="Arial" w:hAnsi="Arial" w:cs="Arial"/>
          <w:sz w:val="12"/>
          <w:szCs w:val="20"/>
        </w:rPr>
      </w:pPr>
    </w:p>
    <w:p w:rsidR="00A212B2" w:rsidRDefault="00A212B2" w:rsidP="00A212B2">
      <w:pPr>
        <w:spacing w:line="276" w:lineRule="auto"/>
        <w:rPr>
          <w:rFonts w:ascii="Arial" w:hAnsi="Arial" w:cs="Arial"/>
          <w:sz w:val="12"/>
          <w:szCs w:val="20"/>
        </w:rPr>
      </w:pPr>
    </w:p>
    <w:tbl>
      <w:tblPr>
        <w:tblW w:w="0" w:type="auto"/>
        <w:tblInd w:w="2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2"/>
      </w:tblGrid>
      <w:tr w:rsidR="00A212B2" w:rsidTr="00CF3C8E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A212B2" w:rsidRDefault="00A212B2" w:rsidP="00CF3C8E">
            <w:pPr>
              <w:tabs>
                <w:tab w:val="center" w:pos="4513"/>
                <w:tab w:val="left" w:pos="6331"/>
              </w:tabs>
              <w:spacing w:line="276" w:lineRule="auto"/>
              <w:jc w:val="center"/>
              <w:rPr>
                <w:rFonts w:ascii="Arial" w:hAnsi="Arial" w:cs="Arial"/>
                <w:b/>
                <w:lang w:val="es-PE" w:eastAsia="es-PE"/>
              </w:rPr>
            </w:pPr>
            <w:r>
              <w:rPr>
                <w:rFonts w:ascii="Arial" w:hAnsi="Arial" w:cs="Arial"/>
                <w:b/>
                <w:lang w:val="es-PE" w:eastAsia="es-PE"/>
              </w:rPr>
              <w:t>Fecha: 25 de febrero de 2015</w:t>
            </w:r>
          </w:p>
        </w:tc>
      </w:tr>
    </w:tbl>
    <w:p w:rsidR="00A212B2" w:rsidRDefault="00A212B2" w:rsidP="00A212B2"/>
    <w:p w:rsidR="00A212B2" w:rsidRDefault="00A212B2" w:rsidP="00A212B2"/>
    <w:p w:rsidR="00A212B2" w:rsidRDefault="00A212B2" w:rsidP="00A212B2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>DISPOSICIONES EN EL PODER EJECUTIVO</w:t>
      </w:r>
    </w:p>
    <w:p w:rsidR="00A212B2" w:rsidRDefault="00A212B2" w:rsidP="00A212B2">
      <w:pPr>
        <w:spacing w:line="276" w:lineRule="auto"/>
        <w:jc w:val="center"/>
        <w:rPr>
          <w:rFonts w:ascii="Arial" w:hAnsi="Arial" w:cs="Arial"/>
          <w:b/>
          <w:sz w:val="21"/>
          <w:szCs w:val="21"/>
          <w:lang w:val="es-PE"/>
        </w:rPr>
      </w:pPr>
    </w:p>
    <w:tbl>
      <w:tblPr>
        <w:tblW w:w="148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46"/>
        <w:gridCol w:w="2715"/>
        <w:gridCol w:w="2126"/>
        <w:gridCol w:w="7793"/>
      </w:tblGrid>
      <w:tr w:rsidR="00A212B2" w:rsidTr="00CF3C8E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212B2" w:rsidRDefault="00A212B2" w:rsidP="00CF3C8E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PE" w:eastAsia="es-PE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PE" w:eastAsia="es-PE"/>
              </w:rPr>
              <w:t>NORMA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212B2" w:rsidRDefault="00A212B2" w:rsidP="00CF3C8E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PE" w:eastAsia="es-PE"/>
              </w:rPr>
            </w:pPr>
          </w:p>
          <w:p w:rsidR="00A212B2" w:rsidRDefault="00A212B2" w:rsidP="00CF3C8E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PE" w:eastAsia="es-PE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PE" w:eastAsia="es-PE"/>
              </w:rPr>
              <w:t>TÍTULO</w:t>
            </w:r>
          </w:p>
          <w:p w:rsidR="00A212B2" w:rsidRDefault="00A212B2" w:rsidP="00CF3C8E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PE"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212B2" w:rsidRDefault="00A212B2" w:rsidP="00CF3C8E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PE" w:eastAsia="es-PE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PE" w:eastAsia="es-PE"/>
              </w:rPr>
              <w:t>ORGANISMO EMISOR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A212B2" w:rsidRDefault="00A212B2" w:rsidP="00CF3C8E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s-PE" w:eastAsia="es-PE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PE" w:eastAsia="es-PE"/>
              </w:rPr>
              <w:t>RESUMEN</w:t>
            </w:r>
          </w:p>
        </w:tc>
      </w:tr>
      <w:tr w:rsidR="00A212B2" w:rsidTr="00CF3C8E">
        <w:trPr>
          <w:trHeight w:val="70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B2" w:rsidRDefault="00A212B2" w:rsidP="00CF3C8E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Resolución Ministerial Nº 051-2015-MEM/DM</w:t>
            </w:r>
          </w:p>
          <w:p w:rsidR="00A212B2" w:rsidRDefault="00A212B2" w:rsidP="00CF3C8E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(13/02/2015)</w:t>
            </w:r>
          </w:p>
          <w:p w:rsidR="00A212B2" w:rsidRDefault="00A212B2" w:rsidP="00CF3C8E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B2" w:rsidRDefault="00A212B2" w:rsidP="00A212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Imponen servidumbre de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electroducto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para </w:t>
            </w:r>
            <w:r w:rsidR="000848B9">
              <w:rPr>
                <w:rFonts w:ascii="Arial" w:hAnsi="Arial" w:cs="Arial"/>
                <w:sz w:val="21"/>
                <w:szCs w:val="21"/>
                <w:lang w:val="es-PE" w:eastAsia="en-US"/>
              </w:rPr>
              <w:t>línea de t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ransmisión a favor de concesión definitiva de transmisión de la que es titular Parque Eólico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Marcona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S.A.C.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2B2" w:rsidRDefault="00A212B2" w:rsidP="00CF3C8E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Ministerio de Energía y Minas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2B2" w:rsidRDefault="00A212B2" w:rsidP="00CF3C8E">
            <w:pPr>
              <w:pStyle w:val="Prrafodelista"/>
              <w:spacing w:after="200" w:line="276" w:lineRule="auto"/>
              <w:ind w:left="360"/>
              <w:jc w:val="both"/>
              <w:rPr>
                <w:rFonts w:ascii="Arial" w:hAnsi="Arial" w:cs="Arial"/>
                <w:sz w:val="21"/>
                <w:szCs w:val="21"/>
                <w:lang w:val="es-PE" w:eastAsia="es-PE"/>
              </w:rPr>
            </w:pPr>
          </w:p>
          <w:p w:rsidR="00A212B2" w:rsidRPr="00F51AAF" w:rsidRDefault="00A212B2" w:rsidP="00CF3C8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D023D">
              <w:rPr>
                <w:rFonts w:ascii="Arial" w:hAnsi="Arial" w:cs="Arial"/>
                <w:sz w:val="21"/>
                <w:szCs w:val="21"/>
                <w:lang w:val="es-PE" w:eastAsia="es-PE"/>
              </w:rPr>
              <w:t xml:space="preserve">Se </w:t>
            </w:r>
            <w:r w:rsidR="000848B9">
              <w:rPr>
                <w:rFonts w:ascii="Arial" w:hAnsi="Arial" w:cs="Arial"/>
                <w:sz w:val="21"/>
                <w:szCs w:val="21"/>
                <w:lang w:val="es-PE" w:eastAsia="es-PE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s-PE" w:eastAsia="es-PE"/>
              </w:rPr>
              <w:t xml:space="preserve">impone con carácter permanente a favor de la concesión definitiva de transmisión de energía eléctrica de la que es titular Parque Eólico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s-PE" w:eastAsia="es-PE"/>
              </w:rPr>
              <w:t>Marcona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s-PE" w:eastAsia="es-PE"/>
              </w:rPr>
              <w:t xml:space="preserve"> S.A.C., la servidumbre permanente de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s-PE" w:eastAsia="es-PE"/>
              </w:rPr>
              <w:t>electroducto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s-PE" w:eastAsia="es-PE"/>
              </w:rPr>
              <w:t xml:space="preserve"> para la Línea de Transmisión en 220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s-PE" w:eastAsia="es-PE"/>
              </w:rPr>
              <w:t>kV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s-PE" w:eastAsia="es-PE"/>
              </w:rPr>
              <w:t xml:space="preserve"> S.E. Tres Hermanas – S.E.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s-PE" w:eastAsia="es-PE"/>
              </w:rPr>
              <w:t>Marcona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s-PE" w:eastAsia="es-PE"/>
              </w:rPr>
              <w:t>, que recorre terreno</w:t>
            </w:r>
            <w:r w:rsidR="00632DE2">
              <w:rPr>
                <w:rFonts w:ascii="Arial" w:hAnsi="Arial" w:cs="Arial"/>
                <w:sz w:val="21"/>
                <w:szCs w:val="21"/>
                <w:lang w:val="es-PE" w:eastAsia="es-PE"/>
              </w:rPr>
              <w:t>s</w:t>
            </w:r>
            <w:r>
              <w:rPr>
                <w:rFonts w:ascii="Arial" w:hAnsi="Arial" w:cs="Arial"/>
                <w:sz w:val="21"/>
                <w:szCs w:val="21"/>
                <w:lang w:val="es-PE" w:eastAsia="es-PE"/>
              </w:rPr>
              <w:t xml:space="preserve"> de propiedad del Estado, ubicada en el distrito de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s-PE" w:eastAsia="es-PE"/>
              </w:rPr>
              <w:t>Marcona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es-PE" w:eastAsia="es-PE"/>
              </w:rPr>
              <w:t xml:space="preserve">, provincia de Nazca, departamento de Ica, de acuerdo a la documentación técnica y los planos proporcionados por la empresa, </w:t>
            </w:r>
            <w:r>
              <w:rPr>
                <w:rFonts w:ascii="Arial" w:hAnsi="Arial" w:cs="Arial"/>
                <w:sz w:val="21"/>
                <w:szCs w:val="21"/>
                <w:lang w:eastAsia="en-US"/>
              </w:rPr>
              <w:t>que</w:t>
            </w:r>
            <w:r>
              <w:rPr>
                <w:rFonts w:ascii="Arial" w:hAnsi="Arial" w:cs="Arial"/>
                <w:sz w:val="21"/>
                <w:szCs w:val="21"/>
                <w:lang w:val="es-PE" w:eastAsia="es-PE"/>
              </w:rPr>
              <w:t xml:space="preserve"> pueden observarse a través del link </w:t>
            </w:r>
            <w:hyperlink r:id="rId5" w:history="1">
              <w:r>
                <w:rPr>
                  <w:rStyle w:val="Hipervnculo"/>
                  <w:rFonts w:ascii="Arial" w:hAnsi="Arial" w:cs="Arial"/>
                  <w:sz w:val="21"/>
                  <w:szCs w:val="21"/>
                  <w:lang w:val="es-PE" w:eastAsia="es-PE"/>
                </w:rPr>
                <w:t>http://www.elperuano.pe/Edicion/</w:t>
              </w:r>
            </w:hyperlink>
            <w:r>
              <w:rPr>
                <w:rFonts w:ascii="Arial" w:hAnsi="Arial" w:cs="Arial"/>
                <w:sz w:val="21"/>
                <w:szCs w:val="21"/>
                <w:lang w:val="es-PE" w:eastAsia="es-PE"/>
              </w:rPr>
              <w:t xml:space="preserve"> o en la edición impresa del Diario Oficial “El Peruano”</w:t>
            </w:r>
            <w:r>
              <w:rPr>
                <w:rFonts w:ascii="Arial" w:hAnsi="Arial" w:cs="Arial"/>
                <w:sz w:val="19"/>
                <w:szCs w:val="19"/>
                <w:lang w:val="es-PE" w:eastAsia="es-PE"/>
              </w:rPr>
              <w:t>.</w:t>
            </w:r>
          </w:p>
          <w:p w:rsidR="00F51AAF" w:rsidRPr="00F51AAF" w:rsidRDefault="00F51AAF" w:rsidP="00F51AAF">
            <w:pPr>
              <w:pStyle w:val="Prrafodelista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F51AAF" w:rsidRPr="00F51AAF" w:rsidRDefault="00F51AAF" w:rsidP="00CF3C8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F51AAF">
              <w:rPr>
                <w:rFonts w:ascii="Arial" w:hAnsi="Arial" w:cs="Arial"/>
                <w:sz w:val="21"/>
                <w:szCs w:val="21"/>
                <w:lang w:val="es-PE" w:eastAsia="es-PE"/>
              </w:rPr>
              <w:t xml:space="preserve">En la parte considerativa se señala que, de acuerdo a la documentación que obra en el Expediente, la Línea de Transmisión en 220 Kv S.E. Tres Hermanas – S.E. </w:t>
            </w:r>
            <w:proofErr w:type="spellStart"/>
            <w:r w:rsidRPr="00F51AAF">
              <w:rPr>
                <w:rFonts w:ascii="Arial" w:hAnsi="Arial" w:cs="Arial"/>
                <w:sz w:val="21"/>
                <w:szCs w:val="21"/>
                <w:lang w:val="es-PE" w:eastAsia="es-PE"/>
              </w:rPr>
              <w:t>Marcona</w:t>
            </w:r>
            <w:proofErr w:type="spellEnd"/>
            <w:r w:rsidRPr="00F51AAF">
              <w:rPr>
                <w:rFonts w:ascii="Arial" w:hAnsi="Arial" w:cs="Arial"/>
                <w:sz w:val="21"/>
                <w:szCs w:val="21"/>
                <w:lang w:val="es-PE" w:eastAsia="es-PE"/>
              </w:rPr>
              <w:t xml:space="preserve">, </w:t>
            </w:r>
            <w:r w:rsidRPr="00F51AAF">
              <w:rPr>
                <w:rFonts w:ascii="Arial" w:hAnsi="Arial" w:cs="Arial"/>
                <w:sz w:val="21"/>
                <w:szCs w:val="21"/>
                <w:u w:val="single"/>
                <w:lang w:val="es-PE" w:eastAsia="es-PE"/>
              </w:rPr>
              <w:t>recorre por dos (02) terrenos de propiedad del Estado</w:t>
            </w:r>
            <w:r w:rsidRPr="00F51AAF">
              <w:rPr>
                <w:rFonts w:ascii="Arial" w:hAnsi="Arial" w:cs="Arial"/>
                <w:sz w:val="21"/>
                <w:szCs w:val="21"/>
                <w:lang w:val="es-PE" w:eastAsia="es-PE"/>
              </w:rPr>
              <w:t xml:space="preserve">, uno de ellos otorgado a favor de la concesionaria minera </w:t>
            </w:r>
            <w:proofErr w:type="spellStart"/>
            <w:r w:rsidRPr="00F51AAF">
              <w:rPr>
                <w:rFonts w:ascii="Arial" w:hAnsi="Arial" w:cs="Arial"/>
                <w:sz w:val="21"/>
                <w:szCs w:val="21"/>
                <w:lang w:val="es-PE" w:eastAsia="es-PE"/>
              </w:rPr>
              <w:t>Shoushang</w:t>
            </w:r>
            <w:proofErr w:type="spellEnd"/>
            <w:r w:rsidRPr="00F51AAF">
              <w:rPr>
                <w:rFonts w:ascii="Arial" w:hAnsi="Arial" w:cs="Arial"/>
                <w:sz w:val="21"/>
                <w:szCs w:val="21"/>
                <w:lang w:val="es-PE" w:eastAsia="es-PE"/>
              </w:rPr>
              <w:t xml:space="preserve"> Hierro Perú S.A.A. y el otro </w:t>
            </w:r>
            <w:r w:rsidRPr="00F51AAF">
              <w:rPr>
                <w:rFonts w:ascii="Arial" w:hAnsi="Arial" w:cs="Arial"/>
                <w:sz w:val="21"/>
                <w:szCs w:val="21"/>
                <w:u w:val="single"/>
                <w:lang w:val="es-PE" w:eastAsia="es-PE"/>
              </w:rPr>
              <w:t>inscrito a nombre de la Superintendencia Nac</w:t>
            </w:r>
            <w:r w:rsidR="00F23E65">
              <w:rPr>
                <w:rFonts w:ascii="Arial" w:hAnsi="Arial" w:cs="Arial"/>
                <w:sz w:val="21"/>
                <w:szCs w:val="21"/>
                <w:u w:val="single"/>
                <w:lang w:val="es-PE" w:eastAsia="es-PE"/>
              </w:rPr>
              <w:t xml:space="preserve">ional de Bienes Estatales </w:t>
            </w:r>
            <w:r>
              <w:rPr>
                <w:rFonts w:ascii="Arial" w:hAnsi="Arial" w:cs="Arial"/>
                <w:sz w:val="21"/>
                <w:szCs w:val="21"/>
                <w:u w:val="single"/>
                <w:lang w:val="es-PE" w:eastAsia="es-PE"/>
              </w:rPr>
              <w:t>(SBN).</w:t>
            </w:r>
          </w:p>
          <w:p w:rsidR="000848B9" w:rsidRPr="00F51AAF" w:rsidRDefault="000848B9" w:rsidP="000848B9">
            <w:pPr>
              <w:pStyle w:val="Prrafodelista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:rsidR="000848B9" w:rsidRPr="000848B9" w:rsidRDefault="000848B9" w:rsidP="00CF3C8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848B9">
              <w:rPr>
                <w:rFonts w:ascii="Arial" w:hAnsi="Arial" w:cs="Arial"/>
                <w:sz w:val="21"/>
                <w:szCs w:val="21"/>
                <w:lang w:val="es-PE" w:eastAsia="es-PE"/>
              </w:rPr>
              <w:t xml:space="preserve">Parque  Eólico </w:t>
            </w:r>
            <w:proofErr w:type="spellStart"/>
            <w:r w:rsidRPr="000848B9">
              <w:rPr>
                <w:rFonts w:ascii="Arial" w:hAnsi="Arial" w:cs="Arial"/>
                <w:sz w:val="21"/>
                <w:szCs w:val="21"/>
                <w:lang w:val="es-PE" w:eastAsia="es-PE"/>
              </w:rPr>
              <w:t>Marcona</w:t>
            </w:r>
            <w:proofErr w:type="spellEnd"/>
            <w:r w:rsidRPr="000848B9">
              <w:rPr>
                <w:rFonts w:ascii="Arial" w:hAnsi="Arial" w:cs="Arial"/>
                <w:sz w:val="21"/>
                <w:szCs w:val="21"/>
                <w:lang w:val="es-PE" w:eastAsia="es-PE"/>
              </w:rPr>
              <w:t xml:space="preserve"> S.A.C deberá adoptar las medidas necesarias a </w:t>
            </w:r>
            <w:r w:rsidRPr="000848B9">
              <w:rPr>
                <w:rFonts w:ascii="Arial" w:hAnsi="Arial" w:cs="Arial"/>
                <w:sz w:val="21"/>
                <w:szCs w:val="21"/>
                <w:lang w:val="es-PE" w:eastAsia="es-PE"/>
              </w:rPr>
              <w:lastRenderedPageBreak/>
              <w:t>fin que el área de servidumbre no sufra daño ni perjuicio por causa de la servidumbre, quedando sujeta a la responsabilidad civil perti</w:t>
            </w:r>
            <w:r>
              <w:rPr>
                <w:rFonts w:ascii="Arial" w:hAnsi="Arial" w:cs="Arial"/>
                <w:sz w:val="21"/>
                <w:szCs w:val="21"/>
                <w:lang w:val="es-PE" w:eastAsia="es-PE"/>
              </w:rPr>
              <w:t>nente en caso de incumplimiento.</w:t>
            </w:r>
          </w:p>
          <w:p w:rsidR="00A212B2" w:rsidRPr="009E7E3F" w:rsidRDefault="00A212B2" w:rsidP="00CF3C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A212B2" w:rsidRDefault="00A212B2" w:rsidP="00CF3C8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 servidumbre impuesta mediante la presente Resolución no perjudica los acuerdos estipulados entre las partes.</w:t>
            </w:r>
          </w:p>
          <w:p w:rsidR="000848B9" w:rsidRPr="000848B9" w:rsidRDefault="000848B9" w:rsidP="000848B9">
            <w:pPr>
              <w:pStyle w:val="Prrafodelista"/>
              <w:rPr>
                <w:rFonts w:ascii="Arial" w:hAnsi="Arial" w:cs="Arial"/>
                <w:sz w:val="21"/>
                <w:szCs w:val="21"/>
              </w:rPr>
            </w:pPr>
          </w:p>
          <w:p w:rsidR="000848B9" w:rsidRDefault="000848B9" w:rsidP="00CF3C8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Los propietarios de los predios sirvientes no podrán construir obras de cualquier naturaleza ni realizar labores que perturben o enerven el pleno ejercicio de la servidumbre constituida.</w:t>
            </w:r>
          </w:p>
          <w:p w:rsidR="00A212B2" w:rsidRDefault="00A212B2" w:rsidP="00CF3C8E">
            <w:pPr>
              <w:pStyle w:val="Prrafodelista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A212B2" w:rsidRDefault="00A212B2" w:rsidP="00CF3C8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La presente Resolución </w:t>
            </w:r>
            <w:r w:rsidR="00632DE2">
              <w:rPr>
                <w:rFonts w:ascii="Arial" w:hAnsi="Arial" w:cs="Arial"/>
                <w:b/>
                <w:sz w:val="21"/>
                <w:szCs w:val="21"/>
              </w:rPr>
              <w:t>entrará en vigencia el 26</w:t>
            </w:r>
            <w:r w:rsidRPr="00EE3E7A">
              <w:rPr>
                <w:rFonts w:ascii="Arial" w:hAnsi="Arial" w:cs="Arial"/>
                <w:b/>
                <w:sz w:val="21"/>
                <w:szCs w:val="21"/>
              </w:rPr>
              <w:t xml:space="preserve"> de febrero de 2015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632DE2" w:rsidRPr="000848B9" w:rsidRDefault="00632DE2" w:rsidP="000848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95181" w:rsidTr="00CF3C8E">
        <w:trPr>
          <w:trHeight w:val="703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81" w:rsidRDefault="00395181" w:rsidP="00CF3C8E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lastRenderedPageBreak/>
              <w:t>Resolución Ministerial Nº 020-2015-MIMP</w:t>
            </w:r>
          </w:p>
          <w:p w:rsidR="00395181" w:rsidRDefault="00395181" w:rsidP="00CF3C8E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(24/02/2015)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81" w:rsidRDefault="00395181" w:rsidP="00A212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Designan Secretario General del Ministerio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181" w:rsidRDefault="00395181" w:rsidP="00CF3C8E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Ministerio de </w:t>
            </w:r>
            <w:r w:rsidR="00032809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la 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Mujer y Poblaciones Vulnerables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81" w:rsidRDefault="00395181" w:rsidP="00395181">
            <w:pPr>
              <w:pStyle w:val="Prrafodelista"/>
              <w:spacing w:after="200" w:line="276" w:lineRule="auto"/>
              <w:jc w:val="both"/>
              <w:rPr>
                <w:rFonts w:ascii="Arial" w:hAnsi="Arial" w:cs="Arial"/>
                <w:sz w:val="21"/>
                <w:szCs w:val="21"/>
                <w:lang w:val="es-PE" w:eastAsia="es-PE"/>
              </w:rPr>
            </w:pPr>
          </w:p>
          <w:p w:rsidR="00395181" w:rsidRDefault="00395181" w:rsidP="0039518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hAnsi="Arial" w:cs="Arial"/>
                <w:sz w:val="21"/>
                <w:szCs w:val="21"/>
                <w:lang w:val="es-PE" w:eastAsia="es-PE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s-PE"/>
              </w:rPr>
              <w:t>Se acepta la renuncia formulada por la abogada Lourdes Mauricio Mendoza al cargo de confianza de Secretaria General del Ministerio de la Mujer y Poblaciones Vulnerables – MIMP, dándosele las gracias por los servicios prestados.</w:t>
            </w:r>
          </w:p>
          <w:p w:rsidR="00395181" w:rsidRDefault="00395181" w:rsidP="00395181">
            <w:pPr>
              <w:pStyle w:val="Prrafodelista"/>
              <w:spacing w:after="200" w:line="276" w:lineRule="auto"/>
              <w:jc w:val="both"/>
              <w:rPr>
                <w:rFonts w:ascii="Arial" w:hAnsi="Arial" w:cs="Arial"/>
                <w:sz w:val="21"/>
                <w:szCs w:val="21"/>
                <w:lang w:val="es-PE" w:eastAsia="es-PE"/>
              </w:rPr>
            </w:pPr>
          </w:p>
          <w:p w:rsidR="00395181" w:rsidRPr="00395181" w:rsidRDefault="00395181" w:rsidP="00395181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Arial" w:hAnsi="Arial" w:cs="Arial"/>
                <w:sz w:val="21"/>
                <w:szCs w:val="21"/>
                <w:lang w:val="es-PE" w:eastAsia="es-PE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s-PE"/>
              </w:rPr>
              <w:t>Se designa al señor David Adolfo Palacios Valverde en el cargo de confianza de Secretario General del Ministerio de la Mujer y Poblaciones Vulnerables – MIMP.</w:t>
            </w:r>
          </w:p>
        </w:tc>
      </w:tr>
    </w:tbl>
    <w:p w:rsidR="00875B2A" w:rsidRDefault="00875B2A"/>
    <w:sectPr w:rsidR="00875B2A" w:rsidSect="00A212B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B6B4F"/>
    <w:multiLevelType w:val="hybridMultilevel"/>
    <w:tmpl w:val="66A66D80"/>
    <w:lvl w:ilvl="0" w:tplc="31C6C4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12B2"/>
    <w:rsid w:val="00032809"/>
    <w:rsid w:val="000848B9"/>
    <w:rsid w:val="00395181"/>
    <w:rsid w:val="00632DE2"/>
    <w:rsid w:val="00720F9F"/>
    <w:rsid w:val="00875B2A"/>
    <w:rsid w:val="00900582"/>
    <w:rsid w:val="00A212B2"/>
    <w:rsid w:val="00B923DD"/>
    <w:rsid w:val="00EC52BF"/>
    <w:rsid w:val="00F23E65"/>
    <w:rsid w:val="00F25FE1"/>
    <w:rsid w:val="00F5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212B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212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peruano.pe/Edic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sbn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cllallico</dc:creator>
  <cp:keywords/>
  <dc:description/>
  <cp:lastModifiedBy>cllallico</cp:lastModifiedBy>
  <cp:revision>1</cp:revision>
  <cp:lastPrinted>2015-02-25T15:48:00Z</cp:lastPrinted>
  <dcterms:created xsi:type="dcterms:W3CDTF">2015-02-25T13:54:00Z</dcterms:created>
  <dcterms:modified xsi:type="dcterms:W3CDTF">2015-02-25T15:51:00Z</dcterms:modified>
</cp:coreProperties>
</file>