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2F9" w:rsidRDefault="009F3566" w:rsidP="00EA3E27">
      <w:pPr>
        <w:spacing w:line="276" w:lineRule="auto"/>
        <w:jc w:val="center"/>
        <w:rPr>
          <w:rFonts w:ascii="Arial" w:hAnsi="Arial" w:cs="Arial"/>
          <w:b/>
          <w:sz w:val="28"/>
          <w:szCs w:val="28"/>
        </w:rPr>
      </w:pPr>
      <w:r>
        <w:rPr>
          <w:rFonts w:ascii="Arial" w:hAnsi="Arial" w:cs="Arial"/>
          <w:b/>
          <w:sz w:val="28"/>
          <w:szCs w:val="28"/>
        </w:rPr>
        <w:t xml:space="preserve"> </w:t>
      </w:r>
      <w:r w:rsidR="00B352F9">
        <w:rPr>
          <w:rFonts w:ascii="Arial" w:hAnsi="Arial" w:cs="Arial"/>
          <w:b/>
          <w:sz w:val="28"/>
          <w:szCs w:val="28"/>
        </w:rPr>
        <w:t>REPORTE DE NORMAS LEGALES</w:t>
      </w:r>
    </w:p>
    <w:p w:rsidR="00B352F9" w:rsidRDefault="00B352F9" w:rsidP="00EA3E27">
      <w:pPr>
        <w:spacing w:line="276" w:lineRule="auto"/>
        <w:rPr>
          <w:rFonts w:ascii="Arial" w:hAnsi="Arial" w:cs="Arial"/>
          <w:sz w:val="20"/>
          <w:szCs w:val="20"/>
        </w:rPr>
      </w:pPr>
    </w:p>
    <w:p w:rsidR="00B352F9" w:rsidRPr="00D51D02" w:rsidRDefault="00B352F9" w:rsidP="00EA3E27">
      <w:pPr>
        <w:spacing w:line="276" w:lineRule="auto"/>
        <w:rPr>
          <w:rFonts w:ascii="Arial" w:hAnsi="Arial" w:cs="Arial"/>
          <w:sz w:val="22"/>
          <w:szCs w:val="20"/>
        </w:rPr>
      </w:pPr>
    </w:p>
    <w:tbl>
      <w:tblPr>
        <w:tblW w:w="0" w:type="auto"/>
        <w:tblInd w:w="2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42"/>
      </w:tblGrid>
      <w:tr w:rsidR="00B352F9" w:rsidRPr="00D51D02" w:rsidTr="00086C61">
        <w:tc>
          <w:tcPr>
            <w:tcW w:w="9242" w:type="dxa"/>
            <w:shd w:val="clear" w:color="auto" w:fill="C4BC96" w:themeFill="background2" w:themeFillShade="BF"/>
            <w:vAlign w:val="center"/>
          </w:tcPr>
          <w:p w:rsidR="00B352F9" w:rsidRPr="00086C61" w:rsidRDefault="00B352F9" w:rsidP="002A56AE">
            <w:pPr>
              <w:tabs>
                <w:tab w:val="center" w:pos="4513"/>
                <w:tab w:val="left" w:pos="6331"/>
              </w:tabs>
              <w:spacing w:line="276" w:lineRule="auto"/>
              <w:jc w:val="center"/>
              <w:rPr>
                <w:rFonts w:ascii="Arial" w:hAnsi="Arial" w:cs="Arial"/>
                <w:b/>
                <w:lang w:val="es-PE" w:eastAsia="es-PE"/>
              </w:rPr>
            </w:pPr>
            <w:r w:rsidRPr="00086C61">
              <w:rPr>
                <w:rFonts w:ascii="Arial" w:hAnsi="Arial" w:cs="Arial"/>
                <w:b/>
                <w:lang w:val="es-PE" w:eastAsia="es-PE"/>
              </w:rPr>
              <w:t>Fecha: 1</w:t>
            </w:r>
            <w:r w:rsidR="002A56AE">
              <w:rPr>
                <w:rFonts w:ascii="Arial" w:hAnsi="Arial" w:cs="Arial"/>
                <w:b/>
                <w:lang w:val="es-PE" w:eastAsia="es-PE"/>
              </w:rPr>
              <w:t>7</w:t>
            </w:r>
            <w:r w:rsidRPr="00086C61">
              <w:rPr>
                <w:rFonts w:ascii="Arial" w:hAnsi="Arial" w:cs="Arial"/>
                <w:b/>
                <w:lang w:val="es-PE" w:eastAsia="es-PE"/>
              </w:rPr>
              <w:t xml:space="preserve"> de enero de 201</w:t>
            </w:r>
            <w:r w:rsidR="002D49C8" w:rsidRPr="00086C61">
              <w:rPr>
                <w:rFonts w:ascii="Arial" w:hAnsi="Arial" w:cs="Arial"/>
                <w:b/>
                <w:lang w:val="es-PE" w:eastAsia="es-PE"/>
              </w:rPr>
              <w:t>4</w:t>
            </w:r>
          </w:p>
        </w:tc>
      </w:tr>
    </w:tbl>
    <w:p w:rsidR="00B352F9" w:rsidRDefault="00B352F9" w:rsidP="00EA3E27">
      <w:pPr>
        <w:spacing w:line="276" w:lineRule="auto"/>
        <w:rPr>
          <w:rFonts w:ascii="Arial" w:hAnsi="Arial" w:cs="Arial"/>
          <w:b/>
          <w:caps/>
          <w:sz w:val="20"/>
          <w:szCs w:val="20"/>
          <w:lang w:val="es-PE"/>
        </w:rPr>
      </w:pPr>
      <w:r>
        <w:rPr>
          <w:rFonts w:ascii="Arial" w:hAnsi="Arial" w:cs="Arial"/>
          <w:b/>
          <w:caps/>
          <w:sz w:val="20"/>
          <w:szCs w:val="20"/>
          <w:lang w:val="es-PE"/>
        </w:rPr>
        <w:t xml:space="preserve">                         </w:t>
      </w:r>
    </w:p>
    <w:p w:rsidR="00B352F9" w:rsidRDefault="00B352F9" w:rsidP="00EA3E27">
      <w:pPr>
        <w:spacing w:line="276" w:lineRule="auto"/>
        <w:rPr>
          <w:rFonts w:ascii="Arial" w:hAnsi="Arial" w:cs="Arial"/>
          <w:b/>
          <w:caps/>
          <w:sz w:val="20"/>
          <w:szCs w:val="20"/>
          <w:lang w:val="es-PE"/>
        </w:rPr>
      </w:pPr>
    </w:p>
    <w:p w:rsidR="00B352F9" w:rsidRDefault="00B352F9" w:rsidP="00EA3E27">
      <w:pPr>
        <w:spacing w:line="276" w:lineRule="auto"/>
        <w:jc w:val="center"/>
        <w:rPr>
          <w:rFonts w:ascii="Arial" w:hAnsi="Arial" w:cs="Arial"/>
          <w:b/>
          <w:sz w:val="22"/>
          <w:szCs w:val="22"/>
          <w:lang w:val="es-PE"/>
        </w:rPr>
      </w:pPr>
      <w:r w:rsidRPr="00485429">
        <w:rPr>
          <w:rFonts w:ascii="Arial" w:hAnsi="Arial" w:cs="Arial"/>
          <w:b/>
          <w:sz w:val="22"/>
          <w:szCs w:val="22"/>
          <w:lang w:val="es-PE"/>
        </w:rPr>
        <w:t xml:space="preserve">DISPOSICIONES EN </w:t>
      </w:r>
      <w:r w:rsidR="00442DEB">
        <w:rPr>
          <w:rFonts w:ascii="Arial" w:hAnsi="Arial" w:cs="Arial"/>
          <w:b/>
          <w:sz w:val="22"/>
          <w:szCs w:val="22"/>
          <w:lang w:val="es-PE"/>
        </w:rPr>
        <w:t>EL PODER EJECUTIVO</w:t>
      </w:r>
    </w:p>
    <w:p w:rsidR="00485429" w:rsidRPr="00485429" w:rsidRDefault="00485429" w:rsidP="00EA3E27">
      <w:pPr>
        <w:spacing w:line="276" w:lineRule="auto"/>
        <w:jc w:val="center"/>
        <w:rPr>
          <w:rFonts w:ascii="Arial" w:hAnsi="Arial" w:cs="Arial"/>
          <w:b/>
          <w:sz w:val="22"/>
          <w:szCs w:val="22"/>
          <w:lang w:val="es-PE"/>
        </w:rPr>
      </w:pPr>
    </w:p>
    <w:p w:rsidR="00B352F9" w:rsidRDefault="00B352F9" w:rsidP="00EA3E27">
      <w:pPr>
        <w:spacing w:line="276" w:lineRule="auto"/>
        <w:rPr>
          <w:rFonts w:ascii="Arial" w:hAnsi="Arial" w:cs="Arial"/>
          <w:b/>
          <w:sz w:val="22"/>
          <w:szCs w:val="22"/>
          <w:lang w:val="es-P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2977"/>
        <w:gridCol w:w="2412"/>
        <w:gridCol w:w="6311"/>
      </w:tblGrid>
      <w:tr w:rsidR="00B352F9" w:rsidTr="00E17D9E">
        <w:tc>
          <w:tcPr>
            <w:tcW w:w="2518" w:type="dxa"/>
            <w:shd w:val="clear" w:color="auto" w:fill="C4BC96" w:themeFill="background2" w:themeFillShade="BF"/>
            <w:vAlign w:val="center"/>
          </w:tcPr>
          <w:p w:rsidR="00B352F9" w:rsidRPr="00485429" w:rsidRDefault="00B352F9" w:rsidP="00EA3E27">
            <w:pPr>
              <w:spacing w:line="276" w:lineRule="auto"/>
              <w:jc w:val="center"/>
              <w:rPr>
                <w:rFonts w:ascii="Arial" w:hAnsi="Arial" w:cs="Arial"/>
                <w:b/>
                <w:sz w:val="20"/>
                <w:szCs w:val="20"/>
              </w:rPr>
            </w:pPr>
            <w:r w:rsidRPr="00485429">
              <w:rPr>
                <w:rFonts w:ascii="Arial" w:hAnsi="Arial" w:cs="Arial"/>
                <w:b/>
                <w:sz w:val="20"/>
                <w:szCs w:val="20"/>
              </w:rPr>
              <w:t>NORMA</w:t>
            </w:r>
          </w:p>
        </w:tc>
        <w:tc>
          <w:tcPr>
            <w:tcW w:w="2977" w:type="dxa"/>
            <w:shd w:val="clear" w:color="auto" w:fill="C4BC96" w:themeFill="background2" w:themeFillShade="BF"/>
            <w:vAlign w:val="center"/>
          </w:tcPr>
          <w:p w:rsidR="00E17D9E" w:rsidRDefault="00E17D9E" w:rsidP="00EA3E27">
            <w:pPr>
              <w:spacing w:line="276" w:lineRule="auto"/>
              <w:jc w:val="center"/>
              <w:rPr>
                <w:rFonts w:ascii="Arial" w:hAnsi="Arial" w:cs="Arial"/>
                <w:b/>
                <w:sz w:val="20"/>
                <w:szCs w:val="20"/>
              </w:rPr>
            </w:pPr>
          </w:p>
          <w:p w:rsidR="00B352F9" w:rsidRDefault="00B352F9" w:rsidP="00EA3E27">
            <w:pPr>
              <w:spacing w:line="276" w:lineRule="auto"/>
              <w:jc w:val="center"/>
              <w:rPr>
                <w:rFonts w:ascii="Arial" w:hAnsi="Arial" w:cs="Arial"/>
                <w:b/>
                <w:sz w:val="20"/>
                <w:szCs w:val="20"/>
              </w:rPr>
            </w:pPr>
            <w:r w:rsidRPr="00485429">
              <w:rPr>
                <w:rFonts w:ascii="Arial" w:hAnsi="Arial" w:cs="Arial"/>
                <w:b/>
                <w:sz w:val="20"/>
                <w:szCs w:val="20"/>
              </w:rPr>
              <w:t>TÍTULO</w:t>
            </w:r>
          </w:p>
          <w:p w:rsidR="00E17D9E" w:rsidRPr="00485429" w:rsidRDefault="00E17D9E" w:rsidP="00EA3E27">
            <w:pPr>
              <w:spacing w:line="276" w:lineRule="auto"/>
              <w:jc w:val="center"/>
              <w:rPr>
                <w:rFonts w:ascii="Arial" w:hAnsi="Arial" w:cs="Arial"/>
                <w:b/>
                <w:sz w:val="20"/>
                <w:szCs w:val="20"/>
              </w:rPr>
            </w:pPr>
          </w:p>
        </w:tc>
        <w:tc>
          <w:tcPr>
            <w:tcW w:w="2412" w:type="dxa"/>
            <w:shd w:val="clear" w:color="auto" w:fill="C4BC96" w:themeFill="background2" w:themeFillShade="BF"/>
            <w:vAlign w:val="center"/>
          </w:tcPr>
          <w:p w:rsidR="00B352F9" w:rsidRPr="00485429" w:rsidRDefault="00B352F9" w:rsidP="00EA3E27">
            <w:pPr>
              <w:spacing w:line="276" w:lineRule="auto"/>
              <w:jc w:val="center"/>
              <w:rPr>
                <w:rFonts w:ascii="Arial" w:hAnsi="Arial" w:cs="Arial"/>
                <w:b/>
                <w:sz w:val="20"/>
                <w:szCs w:val="20"/>
              </w:rPr>
            </w:pPr>
            <w:r w:rsidRPr="00485429">
              <w:rPr>
                <w:rFonts w:ascii="Arial" w:hAnsi="Arial" w:cs="Arial"/>
                <w:b/>
                <w:sz w:val="20"/>
                <w:szCs w:val="20"/>
              </w:rPr>
              <w:t>ORGANISMO EMISOR</w:t>
            </w:r>
          </w:p>
        </w:tc>
        <w:tc>
          <w:tcPr>
            <w:tcW w:w="6311" w:type="dxa"/>
            <w:shd w:val="clear" w:color="auto" w:fill="C4BC96" w:themeFill="background2" w:themeFillShade="BF"/>
            <w:vAlign w:val="center"/>
          </w:tcPr>
          <w:p w:rsidR="00B352F9" w:rsidRPr="00485429" w:rsidRDefault="00B352F9" w:rsidP="00EA3E27">
            <w:pPr>
              <w:spacing w:line="276" w:lineRule="auto"/>
              <w:jc w:val="center"/>
              <w:rPr>
                <w:rFonts w:ascii="Arial" w:hAnsi="Arial" w:cs="Arial"/>
                <w:b/>
                <w:sz w:val="20"/>
                <w:szCs w:val="20"/>
              </w:rPr>
            </w:pPr>
            <w:r w:rsidRPr="00485429">
              <w:rPr>
                <w:rFonts w:ascii="Arial" w:hAnsi="Arial" w:cs="Arial"/>
                <w:b/>
                <w:sz w:val="20"/>
                <w:szCs w:val="20"/>
              </w:rPr>
              <w:t>RESUMEN</w:t>
            </w:r>
          </w:p>
        </w:tc>
      </w:tr>
      <w:tr w:rsidR="00B352F9" w:rsidTr="00792B9A">
        <w:trPr>
          <w:trHeight w:val="1696"/>
        </w:trPr>
        <w:tc>
          <w:tcPr>
            <w:tcW w:w="2518" w:type="dxa"/>
            <w:vAlign w:val="center"/>
          </w:tcPr>
          <w:p w:rsidR="00B352F9" w:rsidRPr="00485429" w:rsidRDefault="00B352F9" w:rsidP="00EA3E27">
            <w:pPr>
              <w:spacing w:line="276" w:lineRule="auto"/>
              <w:jc w:val="center"/>
              <w:rPr>
                <w:rFonts w:ascii="Arial" w:hAnsi="Arial" w:cs="Arial"/>
                <w:sz w:val="20"/>
                <w:szCs w:val="20"/>
              </w:rPr>
            </w:pPr>
          </w:p>
          <w:p w:rsidR="00B352F9" w:rsidRPr="00485429" w:rsidRDefault="00E17D9E" w:rsidP="00EA3E27">
            <w:pPr>
              <w:spacing w:line="276" w:lineRule="auto"/>
              <w:jc w:val="center"/>
              <w:rPr>
                <w:rFonts w:ascii="Arial" w:hAnsi="Arial" w:cs="Arial"/>
                <w:sz w:val="20"/>
                <w:szCs w:val="20"/>
              </w:rPr>
            </w:pPr>
            <w:r>
              <w:rPr>
                <w:rFonts w:ascii="Arial" w:hAnsi="Arial" w:cs="Arial"/>
                <w:sz w:val="20"/>
                <w:szCs w:val="20"/>
              </w:rPr>
              <w:t xml:space="preserve">Decreto Supremo                                           </w:t>
            </w:r>
            <w:r w:rsidR="009365C7" w:rsidRPr="00485429">
              <w:rPr>
                <w:rFonts w:ascii="Arial" w:hAnsi="Arial" w:cs="Arial"/>
                <w:sz w:val="20"/>
                <w:szCs w:val="20"/>
              </w:rPr>
              <w:t xml:space="preserve"> Nº </w:t>
            </w:r>
            <w:r w:rsidR="002A56AE">
              <w:rPr>
                <w:rFonts w:ascii="Arial" w:hAnsi="Arial" w:cs="Arial"/>
                <w:sz w:val="20"/>
                <w:szCs w:val="20"/>
              </w:rPr>
              <w:t>005</w:t>
            </w:r>
            <w:r w:rsidR="005119E4">
              <w:rPr>
                <w:rFonts w:ascii="Arial" w:hAnsi="Arial" w:cs="Arial"/>
                <w:sz w:val="20"/>
                <w:szCs w:val="20"/>
              </w:rPr>
              <w:t>-2014-</w:t>
            </w:r>
            <w:r w:rsidR="002A56AE">
              <w:rPr>
                <w:rFonts w:ascii="Arial" w:hAnsi="Arial" w:cs="Arial"/>
                <w:sz w:val="20"/>
                <w:szCs w:val="20"/>
              </w:rPr>
              <w:t>PCM</w:t>
            </w:r>
          </w:p>
          <w:p w:rsidR="009365C7" w:rsidRPr="00485429" w:rsidRDefault="009365C7" w:rsidP="00EA3E27">
            <w:pPr>
              <w:spacing w:line="276" w:lineRule="auto"/>
              <w:jc w:val="center"/>
              <w:rPr>
                <w:rFonts w:ascii="Arial" w:hAnsi="Arial" w:cs="Arial"/>
                <w:sz w:val="20"/>
                <w:szCs w:val="20"/>
              </w:rPr>
            </w:pPr>
            <w:r w:rsidRPr="00E17D9E">
              <w:rPr>
                <w:rFonts w:ascii="Arial" w:hAnsi="Arial" w:cs="Arial"/>
                <w:sz w:val="20"/>
                <w:szCs w:val="20"/>
              </w:rPr>
              <w:t>(1</w:t>
            </w:r>
            <w:r w:rsidR="002A56AE">
              <w:rPr>
                <w:rFonts w:ascii="Arial" w:hAnsi="Arial" w:cs="Arial"/>
                <w:sz w:val="20"/>
                <w:szCs w:val="20"/>
              </w:rPr>
              <w:t>6</w:t>
            </w:r>
            <w:r w:rsidRPr="00E17D9E">
              <w:rPr>
                <w:rFonts w:ascii="Arial" w:hAnsi="Arial" w:cs="Arial"/>
                <w:sz w:val="20"/>
                <w:szCs w:val="20"/>
              </w:rPr>
              <w:t>/01/2014)</w:t>
            </w:r>
          </w:p>
          <w:p w:rsidR="00B352F9" w:rsidRPr="00485429" w:rsidRDefault="00B352F9" w:rsidP="00EA3E27">
            <w:pPr>
              <w:spacing w:line="276" w:lineRule="auto"/>
              <w:rPr>
                <w:rFonts w:ascii="Arial" w:hAnsi="Arial" w:cs="Arial"/>
                <w:b/>
                <w:sz w:val="20"/>
                <w:szCs w:val="20"/>
              </w:rPr>
            </w:pPr>
            <w:r w:rsidRPr="00485429">
              <w:rPr>
                <w:rFonts w:ascii="Arial" w:hAnsi="Arial" w:cs="Arial"/>
                <w:b/>
                <w:sz w:val="20"/>
                <w:szCs w:val="20"/>
              </w:rPr>
              <w:t xml:space="preserve"> </w:t>
            </w:r>
          </w:p>
          <w:p w:rsidR="00B352F9" w:rsidRPr="00485429" w:rsidRDefault="00B352F9" w:rsidP="00EA3E27">
            <w:pPr>
              <w:spacing w:line="276" w:lineRule="auto"/>
              <w:jc w:val="center"/>
              <w:rPr>
                <w:rFonts w:ascii="Arial" w:hAnsi="Arial" w:cs="Arial"/>
                <w:sz w:val="20"/>
                <w:szCs w:val="20"/>
              </w:rPr>
            </w:pPr>
          </w:p>
        </w:tc>
        <w:tc>
          <w:tcPr>
            <w:tcW w:w="2977" w:type="dxa"/>
            <w:vAlign w:val="center"/>
          </w:tcPr>
          <w:p w:rsidR="009365C7" w:rsidRPr="00485429" w:rsidRDefault="00CC551A" w:rsidP="00CC551A">
            <w:pPr>
              <w:autoSpaceDE w:val="0"/>
              <w:autoSpaceDN w:val="0"/>
              <w:adjustRightInd w:val="0"/>
              <w:spacing w:line="276" w:lineRule="auto"/>
              <w:jc w:val="center"/>
              <w:rPr>
                <w:rFonts w:ascii="Arial" w:hAnsi="Arial" w:cs="Arial"/>
                <w:sz w:val="20"/>
                <w:szCs w:val="20"/>
              </w:rPr>
            </w:pPr>
            <w:r>
              <w:rPr>
                <w:rFonts w:ascii="Arial" w:hAnsi="Arial" w:cs="Arial"/>
                <w:sz w:val="20"/>
                <w:szCs w:val="20"/>
              </w:rPr>
              <w:t>Decreto Supremo que declara el Estado de Emergencia en el distrito de Salaverry, provincia de Trujillo, en el departamento de La Libertad</w:t>
            </w:r>
          </w:p>
        </w:tc>
        <w:tc>
          <w:tcPr>
            <w:tcW w:w="2412" w:type="dxa"/>
            <w:vAlign w:val="center"/>
          </w:tcPr>
          <w:p w:rsidR="00B352F9" w:rsidRPr="00485429" w:rsidRDefault="00CC551A" w:rsidP="00EA3E27">
            <w:pPr>
              <w:spacing w:line="276" w:lineRule="auto"/>
              <w:jc w:val="center"/>
              <w:rPr>
                <w:rFonts w:ascii="Arial" w:hAnsi="Arial" w:cs="Arial"/>
                <w:sz w:val="20"/>
                <w:szCs w:val="20"/>
              </w:rPr>
            </w:pPr>
            <w:r>
              <w:rPr>
                <w:rFonts w:ascii="Arial" w:hAnsi="Arial" w:cs="Arial"/>
                <w:sz w:val="20"/>
                <w:szCs w:val="20"/>
              </w:rPr>
              <w:t>Presidencia del Consejo de Ministros</w:t>
            </w:r>
          </w:p>
        </w:tc>
        <w:tc>
          <w:tcPr>
            <w:tcW w:w="6311" w:type="dxa"/>
            <w:vAlign w:val="center"/>
          </w:tcPr>
          <w:p w:rsidR="00CC551A" w:rsidRDefault="00CC551A" w:rsidP="00CC551A">
            <w:pPr>
              <w:pStyle w:val="NormalWeb"/>
              <w:spacing w:before="0" w:beforeAutospacing="0" w:after="0" w:afterAutospacing="0"/>
              <w:rPr>
                <w:color w:val="auto"/>
                <w:sz w:val="19"/>
                <w:szCs w:val="19"/>
                <w:lang w:eastAsia="es-PE"/>
              </w:rPr>
            </w:pPr>
          </w:p>
          <w:p w:rsidR="00CC551A" w:rsidRDefault="00CC551A" w:rsidP="00CC551A">
            <w:pPr>
              <w:pStyle w:val="Prrafodelista"/>
              <w:numPr>
                <w:ilvl w:val="0"/>
                <w:numId w:val="15"/>
              </w:numPr>
              <w:jc w:val="both"/>
              <w:rPr>
                <w:rFonts w:ascii="Arial" w:hAnsi="Arial" w:cs="Arial"/>
                <w:sz w:val="19"/>
                <w:szCs w:val="19"/>
                <w:lang w:val="es-PE" w:eastAsia="en-US"/>
              </w:rPr>
            </w:pPr>
            <w:r>
              <w:rPr>
                <w:rFonts w:ascii="Arial" w:hAnsi="Arial" w:cs="Arial"/>
                <w:sz w:val="19"/>
                <w:szCs w:val="19"/>
                <w:lang w:val="es-PE" w:eastAsia="en-US"/>
              </w:rPr>
              <w:t xml:space="preserve">Se declara en Estado de Emergencia el distrito de Salaverry, de la provincia de Trujillo, del departamento de La Libertad, por el plazo de sesenta (60) días calendario, por peligro inminente generado por </w:t>
            </w:r>
            <w:proofErr w:type="spellStart"/>
            <w:r>
              <w:rPr>
                <w:rFonts w:ascii="Arial" w:hAnsi="Arial" w:cs="Arial"/>
                <w:sz w:val="19"/>
                <w:szCs w:val="19"/>
                <w:lang w:val="es-PE" w:eastAsia="en-US"/>
              </w:rPr>
              <w:t>arenamiento</w:t>
            </w:r>
            <w:proofErr w:type="spellEnd"/>
            <w:r>
              <w:rPr>
                <w:rFonts w:ascii="Arial" w:hAnsi="Arial" w:cs="Arial"/>
                <w:sz w:val="19"/>
                <w:szCs w:val="19"/>
                <w:lang w:val="es-PE" w:eastAsia="en-US"/>
              </w:rPr>
              <w:t xml:space="preserve"> en el canal de ingreso, zona de maniobra y zona de muelles del Puerto de Salaverry.</w:t>
            </w:r>
          </w:p>
          <w:p w:rsidR="00CC551A" w:rsidRDefault="00CC551A" w:rsidP="00CC551A">
            <w:pPr>
              <w:pStyle w:val="Prrafodelista"/>
              <w:ind w:left="360"/>
              <w:jc w:val="both"/>
              <w:rPr>
                <w:rFonts w:ascii="Arial" w:hAnsi="Arial" w:cs="Arial"/>
                <w:sz w:val="19"/>
                <w:szCs w:val="19"/>
                <w:lang w:val="es-PE" w:eastAsia="en-US"/>
              </w:rPr>
            </w:pPr>
          </w:p>
          <w:p w:rsidR="00CC551A" w:rsidRDefault="00CC551A" w:rsidP="00CC551A">
            <w:pPr>
              <w:pStyle w:val="Prrafodelista"/>
              <w:numPr>
                <w:ilvl w:val="0"/>
                <w:numId w:val="15"/>
              </w:numPr>
              <w:jc w:val="both"/>
              <w:rPr>
                <w:rFonts w:ascii="Arial" w:hAnsi="Arial" w:cs="Arial"/>
                <w:sz w:val="19"/>
                <w:szCs w:val="19"/>
                <w:lang w:val="es-PE" w:eastAsia="en-US"/>
              </w:rPr>
            </w:pPr>
            <w:r w:rsidRPr="00960B26">
              <w:rPr>
                <w:rFonts w:ascii="Arial" w:hAnsi="Arial" w:cs="Arial"/>
                <w:sz w:val="19"/>
                <w:szCs w:val="19"/>
                <w:lang w:val="es-PE" w:eastAsia="en-US"/>
              </w:rPr>
              <w:t>El Ministerio de Transportes y Comunicaciones, el Gobierno Regional La Libertad, la Municipalidad Distrital de Salaverry, en coordinación con el Instituto Nacional de Defensa Civil – INDECI, y con la participación del Ministerio de Defensa y demás instituciones públicas y privadas involucradas,</w:t>
            </w:r>
            <w:r>
              <w:rPr>
                <w:rFonts w:ascii="Arial" w:hAnsi="Arial" w:cs="Arial"/>
                <w:sz w:val="19"/>
                <w:szCs w:val="19"/>
                <w:lang w:val="es-PE" w:eastAsia="en-US"/>
              </w:rPr>
              <w:t xml:space="preserve"> ejecutarán las acciones inmediatas y necesarias de reducción y minimización del alto riesgo e</w:t>
            </w:r>
            <w:r w:rsidR="00960B26">
              <w:rPr>
                <w:rFonts w:ascii="Arial" w:hAnsi="Arial" w:cs="Arial"/>
                <w:sz w:val="19"/>
                <w:szCs w:val="19"/>
                <w:lang w:val="es-PE" w:eastAsia="en-US"/>
              </w:rPr>
              <w:t>xistente en las zonas afectadas, así como de respuesta, según corresponda; acciones que pueden ser modificadas de acuerdo a las necesidades y elementos de seguridad que se vayan presentando durante su ejecución, sustentadas en los estudios técnicos de las entidades competentes.</w:t>
            </w:r>
          </w:p>
          <w:p w:rsidR="00CC551A" w:rsidRDefault="00CC551A" w:rsidP="00CC551A">
            <w:pPr>
              <w:pStyle w:val="Prrafodelista"/>
              <w:ind w:left="360"/>
              <w:jc w:val="both"/>
              <w:rPr>
                <w:rFonts w:ascii="Arial" w:hAnsi="Arial" w:cs="Arial"/>
                <w:sz w:val="19"/>
                <w:szCs w:val="19"/>
                <w:lang w:val="es-PE" w:eastAsia="en-US"/>
              </w:rPr>
            </w:pPr>
          </w:p>
          <w:p w:rsidR="00CC551A" w:rsidRDefault="00CC551A" w:rsidP="00CC551A">
            <w:pPr>
              <w:pStyle w:val="Prrafodelista"/>
              <w:numPr>
                <w:ilvl w:val="0"/>
                <w:numId w:val="15"/>
              </w:numPr>
              <w:jc w:val="both"/>
              <w:rPr>
                <w:rFonts w:ascii="Arial" w:hAnsi="Arial" w:cs="Arial"/>
                <w:sz w:val="19"/>
                <w:szCs w:val="19"/>
                <w:lang w:val="es-PE" w:eastAsia="en-US"/>
              </w:rPr>
            </w:pPr>
            <w:r>
              <w:rPr>
                <w:rFonts w:ascii="Arial" w:hAnsi="Arial" w:cs="Arial"/>
                <w:sz w:val="19"/>
                <w:szCs w:val="19"/>
                <w:lang w:val="es-PE" w:eastAsia="en-US"/>
              </w:rPr>
              <w:t xml:space="preserve">El Instituto Nacional de Defensa Civil – INDECI, será </w:t>
            </w:r>
            <w:r w:rsidRPr="00960B26">
              <w:rPr>
                <w:rFonts w:ascii="Arial" w:hAnsi="Arial" w:cs="Arial"/>
                <w:sz w:val="19"/>
                <w:szCs w:val="19"/>
                <w:lang w:val="es-PE" w:eastAsia="en-US"/>
              </w:rPr>
              <w:t xml:space="preserve">responsable de realizar las coordinaciones necesarias entre el </w:t>
            </w:r>
            <w:r w:rsidR="00960B26" w:rsidRPr="00960B26">
              <w:rPr>
                <w:rFonts w:ascii="Arial" w:hAnsi="Arial" w:cs="Arial"/>
                <w:sz w:val="19"/>
                <w:szCs w:val="19"/>
                <w:lang w:val="es-PE" w:eastAsia="en-US"/>
              </w:rPr>
              <w:t>Ministerio de Transportes y Comunicaciones</w:t>
            </w:r>
            <w:r w:rsidR="00960B26">
              <w:rPr>
                <w:rFonts w:ascii="Arial" w:hAnsi="Arial" w:cs="Arial"/>
                <w:sz w:val="19"/>
                <w:szCs w:val="19"/>
                <w:lang w:val="es-PE" w:eastAsia="en-US"/>
              </w:rPr>
              <w:t>, el Gobierno Regional,</w:t>
            </w:r>
            <w:r>
              <w:rPr>
                <w:rFonts w:ascii="Arial" w:hAnsi="Arial" w:cs="Arial"/>
                <w:sz w:val="19"/>
                <w:szCs w:val="19"/>
                <w:lang w:val="es-PE" w:eastAsia="en-US"/>
              </w:rPr>
              <w:t xml:space="preserve"> los</w:t>
            </w:r>
            <w:r w:rsidR="00960B26">
              <w:rPr>
                <w:rFonts w:ascii="Arial" w:hAnsi="Arial" w:cs="Arial"/>
                <w:sz w:val="19"/>
                <w:szCs w:val="19"/>
                <w:lang w:val="es-PE" w:eastAsia="en-US"/>
              </w:rPr>
              <w:t xml:space="preserve"> </w:t>
            </w:r>
            <w:r w:rsidR="00960B26">
              <w:rPr>
                <w:rFonts w:ascii="Arial" w:hAnsi="Arial" w:cs="Arial"/>
                <w:sz w:val="19"/>
                <w:szCs w:val="19"/>
                <w:lang w:val="es-PE" w:eastAsia="en-US"/>
              </w:rPr>
              <w:lastRenderedPageBreak/>
              <w:t>Gobiernos Locales involucrados y los</w:t>
            </w:r>
            <w:r>
              <w:rPr>
                <w:rFonts w:ascii="Arial" w:hAnsi="Arial" w:cs="Arial"/>
                <w:sz w:val="19"/>
                <w:szCs w:val="19"/>
                <w:lang w:val="es-PE" w:eastAsia="en-US"/>
              </w:rPr>
              <w:t xml:space="preserve"> Sectores, instituciones y organismos del Gobierno Nacional que deben ejecutar las acciones </w:t>
            </w:r>
            <w:r w:rsidR="004F4886">
              <w:rPr>
                <w:rFonts w:ascii="Arial" w:hAnsi="Arial" w:cs="Arial"/>
                <w:sz w:val="19"/>
                <w:szCs w:val="19"/>
                <w:lang w:val="es-PE" w:eastAsia="en-US"/>
              </w:rPr>
              <w:t>de reducción y minimización del alto riesgo existente, así como de respuesta, con la finalidad que e</w:t>
            </w:r>
            <w:r>
              <w:rPr>
                <w:rFonts w:ascii="Arial" w:hAnsi="Arial" w:cs="Arial"/>
                <w:sz w:val="19"/>
                <w:szCs w:val="19"/>
                <w:lang w:val="es-PE" w:eastAsia="en-US"/>
              </w:rPr>
              <w:t>stas se cumplan dentro del plazo de vigencia de la Declaratoria de Estado de Emergencia, debiendo mantener informada a la Secretaría de Gestión del Riesgo de Desastres de la Presidencia del Consejo de Ministros del avance de las mismas.</w:t>
            </w:r>
          </w:p>
          <w:p w:rsidR="004653F0" w:rsidRPr="00CC551A" w:rsidRDefault="004653F0" w:rsidP="00CC551A">
            <w:pPr>
              <w:autoSpaceDE w:val="0"/>
              <w:autoSpaceDN w:val="0"/>
              <w:adjustRightInd w:val="0"/>
              <w:spacing w:line="276" w:lineRule="auto"/>
              <w:jc w:val="both"/>
              <w:rPr>
                <w:rFonts w:ascii="Arial" w:eastAsia="Calibri" w:hAnsi="Arial" w:cs="Arial"/>
                <w:sz w:val="20"/>
                <w:szCs w:val="20"/>
                <w:lang w:eastAsia="es-PE"/>
              </w:rPr>
            </w:pPr>
          </w:p>
        </w:tc>
      </w:tr>
    </w:tbl>
    <w:p w:rsidR="006311F6" w:rsidRDefault="006311F6" w:rsidP="006311F6">
      <w:pPr>
        <w:spacing w:line="276" w:lineRule="auto"/>
        <w:jc w:val="center"/>
        <w:rPr>
          <w:rFonts w:ascii="Arial" w:hAnsi="Arial" w:cs="Arial"/>
          <w:b/>
          <w:sz w:val="22"/>
          <w:szCs w:val="22"/>
          <w:lang w:val="es-PE"/>
        </w:rPr>
      </w:pPr>
      <w:bookmarkStart w:id="0" w:name="_GoBack"/>
      <w:bookmarkEnd w:id="0"/>
    </w:p>
    <w:p w:rsidR="006311F6" w:rsidRDefault="006311F6" w:rsidP="006311F6">
      <w:pPr>
        <w:spacing w:line="276" w:lineRule="auto"/>
        <w:jc w:val="center"/>
        <w:rPr>
          <w:rFonts w:ascii="Arial" w:hAnsi="Arial" w:cs="Arial"/>
          <w:b/>
          <w:sz w:val="22"/>
          <w:szCs w:val="22"/>
          <w:lang w:val="es-PE"/>
        </w:rPr>
      </w:pPr>
    </w:p>
    <w:p w:rsidR="006311F6" w:rsidRDefault="006311F6" w:rsidP="006311F6">
      <w:pPr>
        <w:spacing w:line="276" w:lineRule="auto"/>
        <w:jc w:val="center"/>
        <w:rPr>
          <w:rFonts w:ascii="Arial" w:hAnsi="Arial" w:cs="Arial"/>
          <w:b/>
          <w:sz w:val="22"/>
          <w:szCs w:val="22"/>
          <w:lang w:val="es-PE"/>
        </w:rPr>
      </w:pPr>
    </w:p>
    <w:p w:rsidR="00B352F9" w:rsidRDefault="006311F6" w:rsidP="006311F6">
      <w:pPr>
        <w:spacing w:line="276" w:lineRule="auto"/>
        <w:jc w:val="center"/>
        <w:rPr>
          <w:rFonts w:ascii="Arial" w:hAnsi="Arial" w:cs="Arial"/>
          <w:b/>
          <w:sz w:val="22"/>
          <w:szCs w:val="22"/>
          <w:lang w:val="es-PE"/>
        </w:rPr>
      </w:pPr>
      <w:r w:rsidRPr="00485429">
        <w:rPr>
          <w:rFonts w:ascii="Arial" w:hAnsi="Arial" w:cs="Arial"/>
          <w:b/>
          <w:sz w:val="22"/>
          <w:szCs w:val="22"/>
          <w:lang w:val="es-PE"/>
        </w:rPr>
        <w:t>DISPOSICIONES EN</w:t>
      </w:r>
      <w:r>
        <w:rPr>
          <w:rFonts w:ascii="Arial" w:hAnsi="Arial" w:cs="Arial"/>
          <w:b/>
          <w:sz w:val="22"/>
          <w:szCs w:val="22"/>
          <w:lang w:val="es-PE"/>
        </w:rPr>
        <w:t xml:space="preserve"> LOS GOBIERNOS LOCALES</w:t>
      </w:r>
    </w:p>
    <w:p w:rsidR="006311F6" w:rsidRDefault="006311F6" w:rsidP="006311F6">
      <w:pPr>
        <w:spacing w:line="276" w:lineRule="auto"/>
        <w:jc w:val="center"/>
        <w:rPr>
          <w:rFonts w:ascii="Arial" w:hAnsi="Arial" w:cs="Arial"/>
          <w:b/>
          <w:sz w:val="22"/>
          <w:szCs w:val="22"/>
          <w:lang w:val="es-PE"/>
        </w:rPr>
      </w:pPr>
    </w:p>
    <w:p w:rsidR="006311F6" w:rsidRDefault="006311F6" w:rsidP="006311F6">
      <w:pPr>
        <w:spacing w:line="276" w:lineRule="auto"/>
        <w:jc w:val="center"/>
        <w:rPr>
          <w:rFonts w:ascii="Arial" w:hAnsi="Arial" w:cs="Arial"/>
          <w:b/>
          <w:sz w:val="22"/>
          <w:szCs w:val="22"/>
          <w:lang w:val="es-P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2977"/>
        <w:gridCol w:w="2412"/>
        <w:gridCol w:w="6311"/>
      </w:tblGrid>
      <w:tr w:rsidR="006311F6" w:rsidTr="00593DC4">
        <w:tc>
          <w:tcPr>
            <w:tcW w:w="2518" w:type="dxa"/>
            <w:shd w:val="clear" w:color="auto" w:fill="C4BC96" w:themeFill="background2" w:themeFillShade="BF"/>
            <w:vAlign w:val="center"/>
          </w:tcPr>
          <w:p w:rsidR="006311F6" w:rsidRPr="00485429" w:rsidRDefault="006311F6" w:rsidP="00593DC4">
            <w:pPr>
              <w:spacing w:line="276" w:lineRule="auto"/>
              <w:jc w:val="center"/>
              <w:rPr>
                <w:rFonts w:ascii="Arial" w:hAnsi="Arial" w:cs="Arial"/>
                <w:b/>
                <w:sz w:val="20"/>
                <w:szCs w:val="20"/>
              </w:rPr>
            </w:pPr>
            <w:r w:rsidRPr="00485429">
              <w:rPr>
                <w:rFonts w:ascii="Arial" w:hAnsi="Arial" w:cs="Arial"/>
                <w:b/>
                <w:sz w:val="20"/>
                <w:szCs w:val="20"/>
              </w:rPr>
              <w:t>NORMA</w:t>
            </w:r>
          </w:p>
        </w:tc>
        <w:tc>
          <w:tcPr>
            <w:tcW w:w="2977" w:type="dxa"/>
            <w:shd w:val="clear" w:color="auto" w:fill="C4BC96" w:themeFill="background2" w:themeFillShade="BF"/>
            <w:vAlign w:val="center"/>
          </w:tcPr>
          <w:p w:rsidR="006311F6" w:rsidRDefault="006311F6" w:rsidP="00593DC4">
            <w:pPr>
              <w:spacing w:line="276" w:lineRule="auto"/>
              <w:jc w:val="center"/>
              <w:rPr>
                <w:rFonts w:ascii="Arial" w:hAnsi="Arial" w:cs="Arial"/>
                <w:b/>
                <w:sz w:val="20"/>
                <w:szCs w:val="20"/>
              </w:rPr>
            </w:pPr>
          </w:p>
          <w:p w:rsidR="006311F6" w:rsidRDefault="006311F6" w:rsidP="00593DC4">
            <w:pPr>
              <w:spacing w:line="276" w:lineRule="auto"/>
              <w:jc w:val="center"/>
              <w:rPr>
                <w:rFonts w:ascii="Arial" w:hAnsi="Arial" w:cs="Arial"/>
                <w:b/>
                <w:sz w:val="20"/>
                <w:szCs w:val="20"/>
              </w:rPr>
            </w:pPr>
            <w:r w:rsidRPr="00485429">
              <w:rPr>
                <w:rFonts w:ascii="Arial" w:hAnsi="Arial" w:cs="Arial"/>
                <w:b/>
                <w:sz w:val="20"/>
                <w:szCs w:val="20"/>
              </w:rPr>
              <w:t>TÍTULO</w:t>
            </w:r>
          </w:p>
          <w:p w:rsidR="006311F6" w:rsidRPr="00485429" w:rsidRDefault="006311F6" w:rsidP="00593DC4">
            <w:pPr>
              <w:spacing w:line="276" w:lineRule="auto"/>
              <w:jc w:val="center"/>
              <w:rPr>
                <w:rFonts w:ascii="Arial" w:hAnsi="Arial" w:cs="Arial"/>
                <w:b/>
                <w:sz w:val="20"/>
                <w:szCs w:val="20"/>
              </w:rPr>
            </w:pPr>
          </w:p>
        </w:tc>
        <w:tc>
          <w:tcPr>
            <w:tcW w:w="2412" w:type="dxa"/>
            <w:shd w:val="clear" w:color="auto" w:fill="C4BC96" w:themeFill="background2" w:themeFillShade="BF"/>
            <w:vAlign w:val="center"/>
          </w:tcPr>
          <w:p w:rsidR="006311F6" w:rsidRPr="00485429" w:rsidRDefault="006311F6" w:rsidP="00593DC4">
            <w:pPr>
              <w:spacing w:line="276" w:lineRule="auto"/>
              <w:jc w:val="center"/>
              <w:rPr>
                <w:rFonts w:ascii="Arial" w:hAnsi="Arial" w:cs="Arial"/>
                <w:b/>
                <w:sz w:val="20"/>
                <w:szCs w:val="20"/>
              </w:rPr>
            </w:pPr>
            <w:r w:rsidRPr="00485429">
              <w:rPr>
                <w:rFonts w:ascii="Arial" w:hAnsi="Arial" w:cs="Arial"/>
                <w:b/>
                <w:sz w:val="20"/>
                <w:szCs w:val="20"/>
              </w:rPr>
              <w:t>ORGANISMO EMISOR</w:t>
            </w:r>
          </w:p>
        </w:tc>
        <w:tc>
          <w:tcPr>
            <w:tcW w:w="6311" w:type="dxa"/>
            <w:shd w:val="clear" w:color="auto" w:fill="C4BC96" w:themeFill="background2" w:themeFillShade="BF"/>
            <w:vAlign w:val="center"/>
          </w:tcPr>
          <w:p w:rsidR="006311F6" w:rsidRPr="00485429" w:rsidRDefault="006311F6" w:rsidP="00593DC4">
            <w:pPr>
              <w:spacing w:line="276" w:lineRule="auto"/>
              <w:jc w:val="center"/>
              <w:rPr>
                <w:rFonts w:ascii="Arial" w:hAnsi="Arial" w:cs="Arial"/>
                <w:b/>
                <w:sz w:val="20"/>
                <w:szCs w:val="20"/>
              </w:rPr>
            </w:pPr>
            <w:r w:rsidRPr="00485429">
              <w:rPr>
                <w:rFonts w:ascii="Arial" w:hAnsi="Arial" w:cs="Arial"/>
                <w:b/>
                <w:sz w:val="20"/>
                <w:szCs w:val="20"/>
              </w:rPr>
              <w:t>RESUMEN</w:t>
            </w:r>
          </w:p>
        </w:tc>
      </w:tr>
      <w:tr w:rsidR="006311F6" w:rsidTr="00593DC4">
        <w:trPr>
          <w:trHeight w:val="2430"/>
        </w:trPr>
        <w:tc>
          <w:tcPr>
            <w:tcW w:w="2518" w:type="dxa"/>
            <w:vAlign w:val="center"/>
          </w:tcPr>
          <w:p w:rsidR="006311F6" w:rsidRPr="00485429" w:rsidRDefault="006311F6" w:rsidP="00593DC4">
            <w:pPr>
              <w:spacing w:line="276" w:lineRule="auto"/>
              <w:jc w:val="center"/>
              <w:rPr>
                <w:rFonts w:ascii="Arial" w:hAnsi="Arial" w:cs="Arial"/>
                <w:sz w:val="20"/>
                <w:szCs w:val="20"/>
              </w:rPr>
            </w:pPr>
            <w:r>
              <w:rPr>
                <w:rFonts w:ascii="Arial" w:hAnsi="Arial" w:cs="Arial"/>
                <w:sz w:val="20"/>
                <w:szCs w:val="20"/>
              </w:rPr>
              <w:t xml:space="preserve">Decreto de Alcaldía                                           </w:t>
            </w:r>
            <w:r w:rsidRPr="00485429">
              <w:rPr>
                <w:rFonts w:ascii="Arial" w:hAnsi="Arial" w:cs="Arial"/>
                <w:sz w:val="20"/>
                <w:szCs w:val="20"/>
              </w:rPr>
              <w:t xml:space="preserve"> Nº </w:t>
            </w:r>
            <w:r>
              <w:rPr>
                <w:rFonts w:ascii="Arial" w:hAnsi="Arial" w:cs="Arial"/>
                <w:sz w:val="20"/>
                <w:szCs w:val="20"/>
              </w:rPr>
              <w:t>001-2014-MDS</w:t>
            </w:r>
          </w:p>
          <w:p w:rsidR="006311F6" w:rsidRPr="00485429" w:rsidRDefault="006311F6" w:rsidP="00593DC4">
            <w:pPr>
              <w:spacing w:line="276" w:lineRule="auto"/>
              <w:jc w:val="center"/>
              <w:rPr>
                <w:rFonts w:ascii="Arial" w:hAnsi="Arial" w:cs="Arial"/>
                <w:sz w:val="20"/>
                <w:szCs w:val="20"/>
              </w:rPr>
            </w:pPr>
            <w:r w:rsidRPr="00524D3C">
              <w:rPr>
                <w:rFonts w:ascii="Arial" w:hAnsi="Arial" w:cs="Arial"/>
                <w:sz w:val="20"/>
                <w:szCs w:val="20"/>
              </w:rPr>
              <w:t>(15/01/2014)</w:t>
            </w:r>
          </w:p>
          <w:p w:rsidR="006311F6" w:rsidRPr="00485429" w:rsidRDefault="006311F6" w:rsidP="00593DC4">
            <w:pPr>
              <w:spacing w:line="276" w:lineRule="auto"/>
              <w:jc w:val="center"/>
              <w:rPr>
                <w:rFonts w:ascii="Arial" w:hAnsi="Arial" w:cs="Arial"/>
                <w:sz w:val="20"/>
                <w:szCs w:val="20"/>
              </w:rPr>
            </w:pPr>
          </w:p>
        </w:tc>
        <w:tc>
          <w:tcPr>
            <w:tcW w:w="2977" w:type="dxa"/>
            <w:vAlign w:val="center"/>
          </w:tcPr>
          <w:p w:rsidR="006311F6" w:rsidRPr="00485429" w:rsidRDefault="006311F6" w:rsidP="00593DC4">
            <w:pPr>
              <w:spacing w:line="276" w:lineRule="auto"/>
              <w:jc w:val="center"/>
              <w:rPr>
                <w:rFonts w:ascii="Arial" w:hAnsi="Arial" w:cs="Arial"/>
                <w:sz w:val="20"/>
                <w:szCs w:val="20"/>
              </w:rPr>
            </w:pPr>
            <w:r>
              <w:rPr>
                <w:rFonts w:ascii="Arial" w:hAnsi="Arial" w:cs="Arial"/>
                <w:sz w:val="20"/>
                <w:szCs w:val="20"/>
              </w:rPr>
              <w:t>Prorrogan plazo de vigencia de la Ordenanza Nº 306-MDS que aprobó beneficio de amnistía tributaria y no tributaria en el distrito</w:t>
            </w:r>
          </w:p>
        </w:tc>
        <w:tc>
          <w:tcPr>
            <w:tcW w:w="2412" w:type="dxa"/>
            <w:vAlign w:val="center"/>
          </w:tcPr>
          <w:p w:rsidR="006311F6" w:rsidRPr="00485429" w:rsidRDefault="006311F6" w:rsidP="00593DC4">
            <w:pPr>
              <w:spacing w:line="276" w:lineRule="auto"/>
              <w:jc w:val="center"/>
              <w:rPr>
                <w:rFonts w:ascii="Arial" w:hAnsi="Arial" w:cs="Arial"/>
                <w:sz w:val="20"/>
                <w:szCs w:val="20"/>
              </w:rPr>
            </w:pPr>
            <w:r>
              <w:rPr>
                <w:rFonts w:ascii="Arial" w:hAnsi="Arial" w:cs="Arial"/>
                <w:sz w:val="20"/>
                <w:szCs w:val="20"/>
              </w:rPr>
              <w:t>Municipalidad de Surquillo</w:t>
            </w:r>
          </w:p>
        </w:tc>
        <w:tc>
          <w:tcPr>
            <w:tcW w:w="6311" w:type="dxa"/>
            <w:vAlign w:val="center"/>
          </w:tcPr>
          <w:p w:rsidR="006311F6" w:rsidRPr="00F51480" w:rsidRDefault="006311F6" w:rsidP="00593DC4">
            <w:pPr>
              <w:pStyle w:val="Prrafodelista"/>
              <w:numPr>
                <w:ilvl w:val="0"/>
                <w:numId w:val="17"/>
              </w:numPr>
              <w:spacing w:line="276" w:lineRule="auto"/>
              <w:jc w:val="both"/>
              <w:rPr>
                <w:rFonts w:ascii="Arial" w:hAnsi="Arial" w:cs="Arial"/>
                <w:sz w:val="19"/>
                <w:szCs w:val="19"/>
                <w:lang w:val="es-PE" w:eastAsia="en-US"/>
              </w:rPr>
            </w:pPr>
            <w:r w:rsidRPr="00F51480">
              <w:rPr>
                <w:rFonts w:ascii="Arial" w:hAnsi="Arial" w:cs="Arial"/>
                <w:sz w:val="19"/>
                <w:szCs w:val="19"/>
                <w:lang w:val="es-PE" w:eastAsia="en-US"/>
              </w:rPr>
              <w:t xml:space="preserve">Se prorroga hasta el día 31 de enero de 2014, el plazo de vigencia de la Ordenanza Nº 306-MDS </w:t>
            </w:r>
            <w:r w:rsidRPr="00F51480">
              <w:rPr>
                <w:rFonts w:ascii="Arial" w:hAnsi="Arial" w:cs="Arial"/>
                <w:sz w:val="20"/>
                <w:szCs w:val="20"/>
              </w:rPr>
              <w:t xml:space="preserve">que aprobó </w:t>
            </w:r>
            <w:r w:rsidR="00404A34">
              <w:rPr>
                <w:rFonts w:ascii="Arial" w:hAnsi="Arial" w:cs="Arial"/>
                <w:sz w:val="20"/>
                <w:szCs w:val="20"/>
              </w:rPr>
              <w:t xml:space="preserve">el </w:t>
            </w:r>
            <w:r w:rsidRPr="00F51480">
              <w:rPr>
                <w:rFonts w:ascii="Arial" w:hAnsi="Arial" w:cs="Arial"/>
                <w:sz w:val="20"/>
                <w:szCs w:val="20"/>
              </w:rPr>
              <w:t>beneficio de amnistía tributaria y no tributaria en el distrito</w:t>
            </w:r>
            <w:r>
              <w:rPr>
                <w:rFonts w:ascii="Arial" w:hAnsi="Arial" w:cs="Arial"/>
                <w:sz w:val="20"/>
                <w:szCs w:val="20"/>
              </w:rPr>
              <w:t>.</w:t>
            </w:r>
          </w:p>
          <w:p w:rsidR="006311F6" w:rsidRPr="00F51480" w:rsidRDefault="006311F6" w:rsidP="00593DC4">
            <w:pPr>
              <w:pStyle w:val="Prrafodelista"/>
              <w:spacing w:line="276" w:lineRule="auto"/>
              <w:ind w:left="360"/>
              <w:jc w:val="both"/>
              <w:rPr>
                <w:rFonts w:ascii="Arial" w:hAnsi="Arial" w:cs="Arial"/>
                <w:sz w:val="19"/>
                <w:szCs w:val="19"/>
                <w:lang w:val="es-PE" w:eastAsia="en-US"/>
              </w:rPr>
            </w:pPr>
          </w:p>
          <w:p w:rsidR="006311F6" w:rsidRDefault="006311F6" w:rsidP="00593DC4">
            <w:pPr>
              <w:pStyle w:val="Prrafodelista"/>
              <w:spacing w:line="276" w:lineRule="auto"/>
              <w:ind w:left="360"/>
              <w:jc w:val="both"/>
              <w:rPr>
                <w:rFonts w:ascii="Arial" w:hAnsi="Arial" w:cs="Arial"/>
                <w:sz w:val="18"/>
                <w:szCs w:val="18"/>
              </w:rPr>
            </w:pPr>
            <w:r w:rsidRPr="00F631AF">
              <w:rPr>
                <w:rFonts w:ascii="Arial" w:hAnsi="Arial" w:cs="Arial"/>
                <w:sz w:val="18"/>
                <w:szCs w:val="18"/>
              </w:rPr>
              <w:t xml:space="preserve">Nota: La </w:t>
            </w:r>
            <w:r w:rsidRPr="00F06C19">
              <w:rPr>
                <w:rFonts w:ascii="Arial" w:hAnsi="Arial" w:cs="Arial"/>
                <w:sz w:val="18"/>
                <w:szCs w:val="18"/>
              </w:rPr>
              <w:t>Ordenanza Nº 306-MDS</w:t>
            </w:r>
            <w:r w:rsidRPr="00F631AF">
              <w:rPr>
                <w:rFonts w:ascii="Arial" w:hAnsi="Arial" w:cs="Arial"/>
                <w:sz w:val="18"/>
                <w:szCs w:val="18"/>
              </w:rPr>
              <w:t xml:space="preserve">, formó parte del reporte </w:t>
            </w:r>
            <w:r>
              <w:rPr>
                <w:rFonts w:ascii="Arial" w:hAnsi="Arial" w:cs="Arial"/>
                <w:sz w:val="18"/>
                <w:szCs w:val="18"/>
              </w:rPr>
              <w:t>de normas legales del día 19</w:t>
            </w:r>
            <w:r w:rsidRPr="00F631AF">
              <w:rPr>
                <w:rFonts w:ascii="Arial" w:hAnsi="Arial" w:cs="Arial"/>
                <w:sz w:val="18"/>
                <w:szCs w:val="18"/>
              </w:rPr>
              <w:t xml:space="preserve"> de </w:t>
            </w:r>
            <w:r>
              <w:rPr>
                <w:rFonts w:ascii="Arial" w:hAnsi="Arial" w:cs="Arial"/>
                <w:sz w:val="18"/>
                <w:szCs w:val="18"/>
              </w:rPr>
              <w:t>nov</w:t>
            </w:r>
            <w:r w:rsidRPr="00F631AF">
              <w:rPr>
                <w:rFonts w:ascii="Arial" w:hAnsi="Arial" w:cs="Arial"/>
                <w:sz w:val="18"/>
                <w:szCs w:val="18"/>
              </w:rPr>
              <w:t>iembre de 2013</w:t>
            </w:r>
            <w:r>
              <w:rPr>
                <w:rFonts w:ascii="Arial" w:hAnsi="Arial" w:cs="Arial"/>
                <w:sz w:val="18"/>
                <w:szCs w:val="18"/>
              </w:rPr>
              <w:t>.</w:t>
            </w:r>
          </w:p>
          <w:p w:rsidR="006311F6" w:rsidRPr="00F51480" w:rsidRDefault="006311F6" w:rsidP="00593DC4">
            <w:pPr>
              <w:autoSpaceDE w:val="0"/>
              <w:autoSpaceDN w:val="0"/>
              <w:adjustRightInd w:val="0"/>
              <w:spacing w:line="276" w:lineRule="auto"/>
              <w:jc w:val="both"/>
              <w:rPr>
                <w:rFonts w:ascii="Arial" w:hAnsi="Arial" w:cs="Arial"/>
                <w:sz w:val="20"/>
                <w:szCs w:val="20"/>
              </w:rPr>
            </w:pPr>
          </w:p>
        </w:tc>
      </w:tr>
    </w:tbl>
    <w:p w:rsidR="006311F6" w:rsidRDefault="006311F6" w:rsidP="006311F6">
      <w:pPr>
        <w:spacing w:line="276" w:lineRule="auto"/>
        <w:jc w:val="center"/>
      </w:pPr>
    </w:p>
    <w:sectPr w:rsidR="006311F6" w:rsidSect="004878EF">
      <w:pgSz w:w="16838" w:h="11906" w:orient="landscape"/>
      <w:pgMar w:top="1701" w:right="1417" w:bottom="170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146CF"/>
    <w:multiLevelType w:val="hybridMultilevel"/>
    <w:tmpl w:val="7FAC80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0B53526"/>
    <w:multiLevelType w:val="hybridMultilevel"/>
    <w:tmpl w:val="59B4D128"/>
    <w:lvl w:ilvl="0" w:tplc="0C0A0017">
      <w:start w:val="1"/>
      <w:numFmt w:val="lowerLetter"/>
      <w:lvlText w:val="%1)"/>
      <w:lvlJc w:val="left"/>
      <w:pPr>
        <w:ind w:left="1038" w:hanging="360"/>
      </w:pPr>
      <w:rPr>
        <w:rFonts w:cs="Times New Roman"/>
      </w:rPr>
    </w:lvl>
    <w:lvl w:ilvl="1" w:tplc="0C0A0019" w:tentative="1">
      <w:start w:val="1"/>
      <w:numFmt w:val="lowerLetter"/>
      <w:lvlText w:val="%2."/>
      <w:lvlJc w:val="left"/>
      <w:pPr>
        <w:ind w:left="1758" w:hanging="360"/>
      </w:pPr>
      <w:rPr>
        <w:rFonts w:cs="Times New Roman"/>
      </w:rPr>
    </w:lvl>
    <w:lvl w:ilvl="2" w:tplc="0C0A001B" w:tentative="1">
      <w:start w:val="1"/>
      <w:numFmt w:val="lowerRoman"/>
      <w:lvlText w:val="%3."/>
      <w:lvlJc w:val="right"/>
      <w:pPr>
        <w:ind w:left="2478" w:hanging="180"/>
      </w:pPr>
      <w:rPr>
        <w:rFonts w:cs="Times New Roman"/>
      </w:rPr>
    </w:lvl>
    <w:lvl w:ilvl="3" w:tplc="0C0A000F" w:tentative="1">
      <w:start w:val="1"/>
      <w:numFmt w:val="decimal"/>
      <w:lvlText w:val="%4."/>
      <w:lvlJc w:val="left"/>
      <w:pPr>
        <w:ind w:left="3198" w:hanging="360"/>
      </w:pPr>
      <w:rPr>
        <w:rFonts w:cs="Times New Roman"/>
      </w:rPr>
    </w:lvl>
    <w:lvl w:ilvl="4" w:tplc="0C0A0019" w:tentative="1">
      <w:start w:val="1"/>
      <w:numFmt w:val="lowerLetter"/>
      <w:lvlText w:val="%5."/>
      <w:lvlJc w:val="left"/>
      <w:pPr>
        <w:ind w:left="3918" w:hanging="360"/>
      </w:pPr>
      <w:rPr>
        <w:rFonts w:cs="Times New Roman"/>
      </w:rPr>
    </w:lvl>
    <w:lvl w:ilvl="5" w:tplc="0C0A001B" w:tentative="1">
      <w:start w:val="1"/>
      <w:numFmt w:val="lowerRoman"/>
      <w:lvlText w:val="%6."/>
      <w:lvlJc w:val="right"/>
      <w:pPr>
        <w:ind w:left="4638" w:hanging="180"/>
      </w:pPr>
      <w:rPr>
        <w:rFonts w:cs="Times New Roman"/>
      </w:rPr>
    </w:lvl>
    <w:lvl w:ilvl="6" w:tplc="0C0A000F" w:tentative="1">
      <w:start w:val="1"/>
      <w:numFmt w:val="decimal"/>
      <w:lvlText w:val="%7."/>
      <w:lvlJc w:val="left"/>
      <w:pPr>
        <w:ind w:left="5358" w:hanging="360"/>
      </w:pPr>
      <w:rPr>
        <w:rFonts w:cs="Times New Roman"/>
      </w:rPr>
    </w:lvl>
    <w:lvl w:ilvl="7" w:tplc="0C0A0019" w:tentative="1">
      <w:start w:val="1"/>
      <w:numFmt w:val="lowerLetter"/>
      <w:lvlText w:val="%8."/>
      <w:lvlJc w:val="left"/>
      <w:pPr>
        <w:ind w:left="6078" w:hanging="360"/>
      </w:pPr>
      <w:rPr>
        <w:rFonts w:cs="Times New Roman"/>
      </w:rPr>
    </w:lvl>
    <w:lvl w:ilvl="8" w:tplc="0C0A001B" w:tentative="1">
      <w:start w:val="1"/>
      <w:numFmt w:val="lowerRoman"/>
      <w:lvlText w:val="%9."/>
      <w:lvlJc w:val="right"/>
      <w:pPr>
        <w:ind w:left="6798" w:hanging="180"/>
      </w:pPr>
      <w:rPr>
        <w:rFonts w:cs="Times New Roman"/>
      </w:rPr>
    </w:lvl>
  </w:abstractNum>
  <w:abstractNum w:abstractNumId="2">
    <w:nsid w:val="1DEB74EC"/>
    <w:multiLevelType w:val="hybridMultilevel"/>
    <w:tmpl w:val="91F2667C"/>
    <w:lvl w:ilvl="0" w:tplc="E03E666C">
      <w:numFmt w:val="bullet"/>
      <w:lvlText w:val="-"/>
      <w:lvlJc w:val="left"/>
      <w:pPr>
        <w:ind w:left="1440" w:hanging="360"/>
      </w:pPr>
      <w:rPr>
        <w:rFonts w:ascii="Arial" w:eastAsia="Times New Roman" w:hAnsi="Aria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3">
    <w:nsid w:val="20051B73"/>
    <w:multiLevelType w:val="hybridMultilevel"/>
    <w:tmpl w:val="5E6E0162"/>
    <w:lvl w:ilvl="0" w:tplc="9B9055D8">
      <w:numFmt w:val="bullet"/>
      <w:lvlText w:val="-"/>
      <w:lvlJc w:val="left"/>
      <w:pPr>
        <w:ind w:left="360" w:hanging="360"/>
      </w:pPr>
      <w:rPr>
        <w:rFonts w:ascii="Arial" w:eastAsia="Calibr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2C6021F1"/>
    <w:multiLevelType w:val="hybridMultilevel"/>
    <w:tmpl w:val="961AFD68"/>
    <w:lvl w:ilvl="0" w:tplc="D06C60F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F0B6C7A"/>
    <w:multiLevelType w:val="hybridMultilevel"/>
    <w:tmpl w:val="0DBE6D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86943C4"/>
    <w:multiLevelType w:val="hybridMultilevel"/>
    <w:tmpl w:val="E6806E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404129E"/>
    <w:multiLevelType w:val="hybridMultilevel"/>
    <w:tmpl w:val="3814ADEA"/>
    <w:lvl w:ilvl="0" w:tplc="9B9055D8">
      <w:numFmt w:val="bullet"/>
      <w:lvlText w:val="-"/>
      <w:lvlJc w:val="left"/>
      <w:pPr>
        <w:ind w:left="360" w:hanging="360"/>
      </w:pPr>
      <w:rPr>
        <w:rFonts w:ascii="Arial" w:eastAsia="Calibri"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8">
    <w:nsid w:val="51810CFE"/>
    <w:multiLevelType w:val="hybridMultilevel"/>
    <w:tmpl w:val="DA0EDBDC"/>
    <w:lvl w:ilvl="0" w:tplc="9B9055D8">
      <w:numFmt w:val="bullet"/>
      <w:lvlText w:val="-"/>
      <w:lvlJc w:val="left"/>
      <w:pPr>
        <w:ind w:left="360" w:hanging="360"/>
      </w:pPr>
      <w:rPr>
        <w:rFonts w:ascii="Arial" w:eastAsia="Calibr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nsid w:val="55567942"/>
    <w:multiLevelType w:val="multilevel"/>
    <w:tmpl w:val="62FCB2D6"/>
    <w:lvl w:ilvl="0">
      <w:start w:val="4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nsid w:val="5DD90AB0"/>
    <w:multiLevelType w:val="hybridMultilevel"/>
    <w:tmpl w:val="69DA5E50"/>
    <w:lvl w:ilvl="0" w:tplc="9B9055D8">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2854745"/>
    <w:multiLevelType w:val="hybridMultilevel"/>
    <w:tmpl w:val="BFC0AF7A"/>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nsid w:val="701807FE"/>
    <w:multiLevelType w:val="hybridMultilevel"/>
    <w:tmpl w:val="5DCCD0EE"/>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nsid w:val="733E6729"/>
    <w:multiLevelType w:val="hybridMultilevel"/>
    <w:tmpl w:val="B5F28F6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nsid w:val="7A014FA8"/>
    <w:multiLevelType w:val="hybridMultilevel"/>
    <w:tmpl w:val="814E20DC"/>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4"/>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num>
  <w:num w:numId="5">
    <w:abstractNumId w:val="2"/>
  </w:num>
  <w:num w:numId="6">
    <w:abstractNumId w:val="5"/>
  </w:num>
  <w:num w:numId="7">
    <w:abstractNumId w:val="10"/>
  </w:num>
  <w:num w:numId="8">
    <w:abstractNumId w:val="13"/>
  </w:num>
  <w:num w:numId="9">
    <w:abstractNumId w:val="12"/>
  </w:num>
  <w:num w:numId="10">
    <w:abstractNumId w:val="14"/>
  </w:num>
  <w:num w:numId="11">
    <w:abstractNumId w:val="11"/>
  </w:num>
  <w:num w:numId="12">
    <w:abstractNumId w:val="9"/>
  </w:num>
  <w:num w:numId="13">
    <w:abstractNumId w:val="6"/>
  </w:num>
  <w:num w:numId="14">
    <w:abstractNumId w:val="0"/>
  </w:num>
  <w:num w:numId="15">
    <w:abstractNumId w:val="7"/>
  </w:num>
  <w:num w:numId="16">
    <w:abstractNumId w:val="7"/>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4878EF"/>
    <w:rsid w:val="00086C61"/>
    <w:rsid w:val="000C3302"/>
    <w:rsid w:val="000D098A"/>
    <w:rsid w:val="00102213"/>
    <w:rsid w:val="0011752F"/>
    <w:rsid w:val="00167041"/>
    <w:rsid w:val="001A0F57"/>
    <w:rsid w:val="001D08AD"/>
    <w:rsid w:val="001F5EF1"/>
    <w:rsid w:val="00205A79"/>
    <w:rsid w:val="0020774E"/>
    <w:rsid w:val="002708AA"/>
    <w:rsid w:val="00297248"/>
    <w:rsid w:val="002A56AE"/>
    <w:rsid w:val="002B52B2"/>
    <w:rsid w:val="002B6081"/>
    <w:rsid w:val="002C513A"/>
    <w:rsid w:val="002D49C8"/>
    <w:rsid w:val="00301DC4"/>
    <w:rsid w:val="00302124"/>
    <w:rsid w:val="003A1571"/>
    <w:rsid w:val="003B1448"/>
    <w:rsid w:val="003F11BE"/>
    <w:rsid w:val="003F3A25"/>
    <w:rsid w:val="00404A34"/>
    <w:rsid w:val="00421816"/>
    <w:rsid w:val="00442DEB"/>
    <w:rsid w:val="004653F0"/>
    <w:rsid w:val="00475E54"/>
    <w:rsid w:val="00485429"/>
    <w:rsid w:val="004878EF"/>
    <w:rsid w:val="004F4886"/>
    <w:rsid w:val="005119E4"/>
    <w:rsid w:val="005219C4"/>
    <w:rsid w:val="005235EF"/>
    <w:rsid w:val="00524D3C"/>
    <w:rsid w:val="00540E7F"/>
    <w:rsid w:val="00572CA2"/>
    <w:rsid w:val="00576F1E"/>
    <w:rsid w:val="005A457C"/>
    <w:rsid w:val="005D0BDC"/>
    <w:rsid w:val="005E6485"/>
    <w:rsid w:val="006311F6"/>
    <w:rsid w:val="006501D7"/>
    <w:rsid w:val="00667B43"/>
    <w:rsid w:val="00683877"/>
    <w:rsid w:val="00685FDF"/>
    <w:rsid w:val="006F2C13"/>
    <w:rsid w:val="007259CC"/>
    <w:rsid w:val="00727292"/>
    <w:rsid w:val="00792B9A"/>
    <w:rsid w:val="007A4090"/>
    <w:rsid w:val="007E4964"/>
    <w:rsid w:val="00806C13"/>
    <w:rsid w:val="008229B9"/>
    <w:rsid w:val="00886BE3"/>
    <w:rsid w:val="008E30F2"/>
    <w:rsid w:val="008F502F"/>
    <w:rsid w:val="00934B96"/>
    <w:rsid w:val="009365C7"/>
    <w:rsid w:val="009547E0"/>
    <w:rsid w:val="009562F6"/>
    <w:rsid w:val="00960B26"/>
    <w:rsid w:val="009E515D"/>
    <w:rsid w:val="009F3566"/>
    <w:rsid w:val="009F55F4"/>
    <w:rsid w:val="00A60E51"/>
    <w:rsid w:val="00A742E1"/>
    <w:rsid w:val="00A96D3F"/>
    <w:rsid w:val="00AB4A9C"/>
    <w:rsid w:val="00AC3AB1"/>
    <w:rsid w:val="00AF5D7E"/>
    <w:rsid w:val="00B352F9"/>
    <w:rsid w:val="00B73BBF"/>
    <w:rsid w:val="00BA0368"/>
    <w:rsid w:val="00BB2822"/>
    <w:rsid w:val="00C10BC1"/>
    <w:rsid w:val="00C32839"/>
    <w:rsid w:val="00C50343"/>
    <w:rsid w:val="00C81C00"/>
    <w:rsid w:val="00C92544"/>
    <w:rsid w:val="00CC551A"/>
    <w:rsid w:val="00D148EA"/>
    <w:rsid w:val="00D42A1F"/>
    <w:rsid w:val="00D51D02"/>
    <w:rsid w:val="00D81902"/>
    <w:rsid w:val="00D927A8"/>
    <w:rsid w:val="00DB7E76"/>
    <w:rsid w:val="00DD155B"/>
    <w:rsid w:val="00E015D1"/>
    <w:rsid w:val="00E11373"/>
    <w:rsid w:val="00E1549F"/>
    <w:rsid w:val="00E17D9E"/>
    <w:rsid w:val="00E82308"/>
    <w:rsid w:val="00EA0BA8"/>
    <w:rsid w:val="00EA1C3B"/>
    <w:rsid w:val="00EA3E27"/>
    <w:rsid w:val="00F32976"/>
    <w:rsid w:val="00F51480"/>
    <w:rsid w:val="00F64A3B"/>
    <w:rsid w:val="00FB09DD"/>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PE" w:eastAsia="es-P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8EF"/>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5235EF"/>
    <w:pPr>
      <w:ind w:left="720"/>
      <w:contextualSpacing/>
    </w:pPr>
  </w:style>
  <w:style w:type="character" w:styleId="Hipervnculo">
    <w:name w:val="Hyperlink"/>
    <w:basedOn w:val="Fuentedeprrafopredeter"/>
    <w:uiPriority w:val="99"/>
    <w:unhideWhenUsed/>
    <w:rsid w:val="000D098A"/>
    <w:rPr>
      <w:color w:val="0000FF" w:themeColor="hyperlink"/>
      <w:u w:val="single"/>
    </w:rPr>
  </w:style>
  <w:style w:type="paragraph" w:styleId="NormalWeb">
    <w:name w:val="Normal (Web)"/>
    <w:basedOn w:val="Normal"/>
    <w:semiHidden/>
    <w:unhideWhenUsed/>
    <w:rsid w:val="00CC551A"/>
    <w:pPr>
      <w:spacing w:before="100" w:beforeAutospacing="1" w:after="100" w:afterAutospacing="1"/>
      <w:jc w:val="both"/>
    </w:pPr>
    <w:rPr>
      <w:rFonts w:ascii="Arial" w:hAnsi="Arial" w:cs="Arial"/>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PE" w:eastAsia="es-P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8EF"/>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5235EF"/>
    <w:pPr>
      <w:ind w:left="720"/>
      <w:contextualSpacing/>
    </w:pPr>
  </w:style>
</w:styles>
</file>

<file path=word/webSettings.xml><?xml version="1.0" encoding="utf-8"?>
<w:webSettings xmlns:r="http://schemas.openxmlformats.org/officeDocument/2006/relationships" xmlns:w="http://schemas.openxmlformats.org/wordprocessingml/2006/main">
  <w:divs>
    <w:div w:id="70742764">
      <w:bodyDiv w:val="1"/>
      <w:marLeft w:val="0"/>
      <w:marRight w:val="0"/>
      <w:marTop w:val="0"/>
      <w:marBottom w:val="0"/>
      <w:divBdr>
        <w:top w:val="none" w:sz="0" w:space="0" w:color="auto"/>
        <w:left w:val="none" w:sz="0" w:space="0" w:color="auto"/>
        <w:bottom w:val="none" w:sz="0" w:space="0" w:color="auto"/>
        <w:right w:val="none" w:sz="0" w:space="0" w:color="auto"/>
      </w:divBdr>
    </w:div>
    <w:div w:id="7541290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TotalTime>
  <Pages>2</Pages>
  <Words>411</Words>
  <Characters>2262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REPORTE DE NORMAS LEGALES</vt:lpstr>
    </vt:vector>
  </TitlesOfParts>
  <Company>sbn</Company>
  <LinksUpToDate>false</LinksUpToDate>
  <CharactersWithSpaces>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REPORTE DE NORMAS LEGALES</dc:title>
  <dc:creator>jotiniano</dc:creator>
  <cp:lastModifiedBy>agutierrez</cp:lastModifiedBy>
  <cp:revision>61</cp:revision>
  <dcterms:created xsi:type="dcterms:W3CDTF">2014-01-10T14:00:00Z</dcterms:created>
  <dcterms:modified xsi:type="dcterms:W3CDTF">2014-01-17T16:29:00Z</dcterms:modified>
</cp:coreProperties>
</file>