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2F9" w:rsidRDefault="009F3566" w:rsidP="00EA3E27">
      <w:pPr>
        <w:spacing w:line="276" w:lineRule="auto"/>
        <w:jc w:val="center"/>
        <w:rPr>
          <w:rFonts w:ascii="Arial" w:hAnsi="Arial" w:cs="Arial"/>
          <w:b/>
          <w:sz w:val="28"/>
          <w:szCs w:val="28"/>
        </w:rPr>
      </w:pPr>
      <w:r>
        <w:rPr>
          <w:rFonts w:ascii="Arial" w:hAnsi="Arial" w:cs="Arial"/>
          <w:b/>
          <w:sz w:val="28"/>
          <w:szCs w:val="28"/>
        </w:rPr>
        <w:t xml:space="preserve"> </w:t>
      </w:r>
      <w:r w:rsidR="00B352F9">
        <w:rPr>
          <w:rFonts w:ascii="Arial" w:hAnsi="Arial" w:cs="Arial"/>
          <w:b/>
          <w:sz w:val="28"/>
          <w:szCs w:val="28"/>
        </w:rPr>
        <w:t>REPORTE DE NORMAS LEGALES</w:t>
      </w:r>
    </w:p>
    <w:p w:rsidR="00B352F9" w:rsidRDefault="00B352F9" w:rsidP="00EA3E27">
      <w:pPr>
        <w:spacing w:line="276" w:lineRule="auto"/>
        <w:rPr>
          <w:rFonts w:ascii="Arial" w:hAnsi="Arial" w:cs="Arial"/>
          <w:sz w:val="20"/>
          <w:szCs w:val="20"/>
        </w:rPr>
      </w:pPr>
    </w:p>
    <w:p w:rsidR="00B352F9" w:rsidRPr="00D51D02" w:rsidRDefault="00B352F9" w:rsidP="00EA3E27">
      <w:pPr>
        <w:spacing w:line="276" w:lineRule="auto"/>
        <w:rPr>
          <w:rFonts w:ascii="Arial" w:hAnsi="Arial" w:cs="Arial"/>
          <w:sz w:val="22"/>
          <w:szCs w:val="20"/>
        </w:rPr>
      </w:pPr>
    </w:p>
    <w:tbl>
      <w:tblPr>
        <w:tblW w:w="0" w:type="auto"/>
        <w:tblInd w:w="2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2"/>
      </w:tblGrid>
      <w:tr w:rsidR="00B352F9" w:rsidRPr="00D51D02" w:rsidTr="00086C61">
        <w:tc>
          <w:tcPr>
            <w:tcW w:w="9242" w:type="dxa"/>
            <w:shd w:val="clear" w:color="auto" w:fill="C4BC96" w:themeFill="background2" w:themeFillShade="BF"/>
            <w:vAlign w:val="center"/>
          </w:tcPr>
          <w:p w:rsidR="00B352F9" w:rsidRPr="00086C61" w:rsidRDefault="00B352F9" w:rsidP="00EA3E27">
            <w:pPr>
              <w:tabs>
                <w:tab w:val="center" w:pos="4513"/>
                <w:tab w:val="left" w:pos="6331"/>
              </w:tabs>
              <w:spacing w:line="276" w:lineRule="auto"/>
              <w:jc w:val="center"/>
              <w:rPr>
                <w:rFonts w:ascii="Arial" w:hAnsi="Arial" w:cs="Arial"/>
                <w:b/>
                <w:lang w:val="es-PE" w:eastAsia="es-PE"/>
              </w:rPr>
            </w:pPr>
            <w:r w:rsidRPr="00086C61">
              <w:rPr>
                <w:rFonts w:ascii="Arial" w:hAnsi="Arial" w:cs="Arial"/>
                <w:b/>
                <w:lang w:val="es-PE" w:eastAsia="es-PE"/>
              </w:rPr>
              <w:t>Fecha: 1</w:t>
            </w:r>
            <w:r w:rsidR="00442DEB">
              <w:rPr>
                <w:rFonts w:ascii="Arial" w:hAnsi="Arial" w:cs="Arial"/>
                <w:b/>
                <w:lang w:val="es-PE" w:eastAsia="es-PE"/>
              </w:rPr>
              <w:t>6</w:t>
            </w:r>
            <w:r w:rsidRPr="00086C61">
              <w:rPr>
                <w:rFonts w:ascii="Arial" w:hAnsi="Arial" w:cs="Arial"/>
                <w:b/>
                <w:lang w:val="es-PE" w:eastAsia="es-PE"/>
              </w:rPr>
              <w:t xml:space="preserve"> de enero de 201</w:t>
            </w:r>
            <w:r w:rsidR="002D49C8" w:rsidRPr="00086C61">
              <w:rPr>
                <w:rFonts w:ascii="Arial" w:hAnsi="Arial" w:cs="Arial"/>
                <w:b/>
                <w:lang w:val="es-PE" w:eastAsia="es-PE"/>
              </w:rPr>
              <w:t>4</w:t>
            </w:r>
          </w:p>
        </w:tc>
      </w:tr>
    </w:tbl>
    <w:p w:rsidR="00B352F9" w:rsidRDefault="00B352F9" w:rsidP="00EA3E27">
      <w:pPr>
        <w:spacing w:line="276" w:lineRule="auto"/>
        <w:rPr>
          <w:rFonts w:ascii="Arial" w:hAnsi="Arial" w:cs="Arial"/>
          <w:b/>
          <w:caps/>
          <w:sz w:val="20"/>
          <w:szCs w:val="20"/>
          <w:lang w:val="es-PE"/>
        </w:rPr>
      </w:pPr>
      <w:r>
        <w:rPr>
          <w:rFonts w:ascii="Arial" w:hAnsi="Arial" w:cs="Arial"/>
          <w:b/>
          <w:caps/>
          <w:sz w:val="20"/>
          <w:szCs w:val="20"/>
          <w:lang w:val="es-PE"/>
        </w:rPr>
        <w:t xml:space="preserve">                         </w:t>
      </w:r>
    </w:p>
    <w:p w:rsidR="00B352F9" w:rsidRDefault="00B352F9" w:rsidP="00EA3E27">
      <w:pPr>
        <w:spacing w:line="276" w:lineRule="auto"/>
        <w:rPr>
          <w:rFonts w:ascii="Arial" w:hAnsi="Arial" w:cs="Arial"/>
          <w:b/>
          <w:caps/>
          <w:sz w:val="20"/>
          <w:szCs w:val="20"/>
          <w:lang w:val="es-PE"/>
        </w:rPr>
      </w:pPr>
    </w:p>
    <w:p w:rsidR="00B352F9" w:rsidRDefault="00B352F9" w:rsidP="00EA3E27">
      <w:pPr>
        <w:spacing w:line="276" w:lineRule="auto"/>
        <w:jc w:val="center"/>
        <w:rPr>
          <w:rFonts w:ascii="Arial" w:hAnsi="Arial" w:cs="Arial"/>
          <w:b/>
          <w:sz w:val="22"/>
          <w:szCs w:val="22"/>
          <w:lang w:val="es-PE"/>
        </w:rPr>
      </w:pPr>
      <w:r w:rsidRPr="00485429">
        <w:rPr>
          <w:rFonts w:ascii="Arial" w:hAnsi="Arial" w:cs="Arial"/>
          <w:b/>
          <w:sz w:val="22"/>
          <w:szCs w:val="22"/>
          <w:lang w:val="es-PE"/>
        </w:rPr>
        <w:t xml:space="preserve">DISPOSICIONES EN </w:t>
      </w:r>
      <w:r w:rsidR="00442DEB">
        <w:rPr>
          <w:rFonts w:ascii="Arial" w:hAnsi="Arial" w:cs="Arial"/>
          <w:b/>
          <w:sz w:val="22"/>
          <w:szCs w:val="22"/>
          <w:lang w:val="es-PE"/>
        </w:rPr>
        <w:t>EL PODER EJECUTIVO</w:t>
      </w:r>
    </w:p>
    <w:p w:rsidR="00485429" w:rsidRPr="00485429" w:rsidRDefault="00485429" w:rsidP="00EA3E27">
      <w:pPr>
        <w:spacing w:line="276" w:lineRule="auto"/>
        <w:jc w:val="center"/>
        <w:rPr>
          <w:rFonts w:ascii="Arial" w:hAnsi="Arial" w:cs="Arial"/>
          <w:b/>
          <w:sz w:val="22"/>
          <w:szCs w:val="22"/>
          <w:lang w:val="es-PE"/>
        </w:rPr>
      </w:pPr>
    </w:p>
    <w:p w:rsidR="00B352F9" w:rsidRDefault="00B352F9" w:rsidP="00EA3E27">
      <w:pPr>
        <w:spacing w:line="276" w:lineRule="auto"/>
        <w:rPr>
          <w:rFonts w:ascii="Arial" w:hAnsi="Arial" w:cs="Arial"/>
          <w:b/>
          <w:sz w:val="22"/>
          <w:szCs w:val="22"/>
          <w:lang w:val="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2977"/>
        <w:gridCol w:w="2412"/>
        <w:gridCol w:w="6311"/>
      </w:tblGrid>
      <w:tr w:rsidR="00B352F9" w:rsidTr="00E17D9E">
        <w:tc>
          <w:tcPr>
            <w:tcW w:w="2518" w:type="dxa"/>
            <w:shd w:val="clear" w:color="auto" w:fill="C4BC96" w:themeFill="background2" w:themeFillShade="BF"/>
            <w:vAlign w:val="center"/>
          </w:tcPr>
          <w:p w:rsidR="00B352F9" w:rsidRPr="00485429" w:rsidRDefault="00B352F9" w:rsidP="00EA3E27">
            <w:pPr>
              <w:spacing w:line="276" w:lineRule="auto"/>
              <w:jc w:val="center"/>
              <w:rPr>
                <w:rFonts w:ascii="Arial" w:hAnsi="Arial" w:cs="Arial"/>
                <w:b/>
                <w:sz w:val="20"/>
                <w:szCs w:val="20"/>
              </w:rPr>
            </w:pPr>
            <w:r w:rsidRPr="00485429">
              <w:rPr>
                <w:rFonts w:ascii="Arial" w:hAnsi="Arial" w:cs="Arial"/>
                <w:b/>
                <w:sz w:val="20"/>
                <w:szCs w:val="20"/>
              </w:rPr>
              <w:t>NORMA</w:t>
            </w:r>
          </w:p>
        </w:tc>
        <w:tc>
          <w:tcPr>
            <w:tcW w:w="2977" w:type="dxa"/>
            <w:shd w:val="clear" w:color="auto" w:fill="C4BC96" w:themeFill="background2" w:themeFillShade="BF"/>
            <w:vAlign w:val="center"/>
          </w:tcPr>
          <w:p w:rsidR="00E17D9E" w:rsidRDefault="00E17D9E" w:rsidP="00EA3E27">
            <w:pPr>
              <w:spacing w:line="276" w:lineRule="auto"/>
              <w:jc w:val="center"/>
              <w:rPr>
                <w:rFonts w:ascii="Arial" w:hAnsi="Arial" w:cs="Arial"/>
                <w:b/>
                <w:sz w:val="20"/>
                <w:szCs w:val="20"/>
              </w:rPr>
            </w:pPr>
          </w:p>
          <w:p w:rsidR="00B352F9" w:rsidRDefault="00B352F9" w:rsidP="00EA3E27">
            <w:pPr>
              <w:spacing w:line="276" w:lineRule="auto"/>
              <w:jc w:val="center"/>
              <w:rPr>
                <w:rFonts w:ascii="Arial" w:hAnsi="Arial" w:cs="Arial"/>
                <w:b/>
                <w:sz w:val="20"/>
                <w:szCs w:val="20"/>
              </w:rPr>
            </w:pPr>
            <w:r w:rsidRPr="00485429">
              <w:rPr>
                <w:rFonts w:ascii="Arial" w:hAnsi="Arial" w:cs="Arial"/>
                <w:b/>
                <w:sz w:val="20"/>
                <w:szCs w:val="20"/>
              </w:rPr>
              <w:t>TÍTULO</w:t>
            </w:r>
          </w:p>
          <w:p w:rsidR="00E17D9E" w:rsidRPr="00485429" w:rsidRDefault="00E17D9E" w:rsidP="00EA3E27">
            <w:pPr>
              <w:spacing w:line="276" w:lineRule="auto"/>
              <w:jc w:val="center"/>
              <w:rPr>
                <w:rFonts w:ascii="Arial" w:hAnsi="Arial" w:cs="Arial"/>
                <w:b/>
                <w:sz w:val="20"/>
                <w:szCs w:val="20"/>
              </w:rPr>
            </w:pPr>
          </w:p>
        </w:tc>
        <w:tc>
          <w:tcPr>
            <w:tcW w:w="2412" w:type="dxa"/>
            <w:shd w:val="clear" w:color="auto" w:fill="C4BC96" w:themeFill="background2" w:themeFillShade="BF"/>
            <w:vAlign w:val="center"/>
          </w:tcPr>
          <w:p w:rsidR="00B352F9" w:rsidRPr="00485429" w:rsidRDefault="00B352F9" w:rsidP="00EA3E27">
            <w:pPr>
              <w:spacing w:line="276" w:lineRule="auto"/>
              <w:jc w:val="center"/>
              <w:rPr>
                <w:rFonts w:ascii="Arial" w:hAnsi="Arial" w:cs="Arial"/>
                <w:b/>
                <w:sz w:val="20"/>
                <w:szCs w:val="20"/>
              </w:rPr>
            </w:pPr>
            <w:r w:rsidRPr="00485429">
              <w:rPr>
                <w:rFonts w:ascii="Arial" w:hAnsi="Arial" w:cs="Arial"/>
                <w:b/>
                <w:sz w:val="20"/>
                <w:szCs w:val="20"/>
              </w:rPr>
              <w:t>ORGANISMO EMISOR</w:t>
            </w:r>
          </w:p>
        </w:tc>
        <w:tc>
          <w:tcPr>
            <w:tcW w:w="6311" w:type="dxa"/>
            <w:shd w:val="clear" w:color="auto" w:fill="C4BC96" w:themeFill="background2" w:themeFillShade="BF"/>
            <w:vAlign w:val="center"/>
          </w:tcPr>
          <w:p w:rsidR="00B352F9" w:rsidRPr="00485429" w:rsidRDefault="00B352F9" w:rsidP="00EA3E27">
            <w:pPr>
              <w:spacing w:line="276" w:lineRule="auto"/>
              <w:jc w:val="center"/>
              <w:rPr>
                <w:rFonts w:ascii="Arial" w:hAnsi="Arial" w:cs="Arial"/>
                <w:b/>
                <w:sz w:val="20"/>
                <w:szCs w:val="20"/>
              </w:rPr>
            </w:pPr>
            <w:r w:rsidRPr="00485429">
              <w:rPr>
                <w:rFonts w:ascii="Arial" w:hAnsi="Arial" w:cs="Arial"/>
                <w:b/>
                <w:sz w:val="20"/>
                <w:szCs w:val="20"/>
              </w:rPr>
              <w:t>RESUMEN</w:t>
            </w:r>
          </w:p>
        </w:tc>
      </w:tr>
      <w:tr w:rsidR="00B352F9" w:rsidTr="00792B9A">
        <w:trPr>
          <w:trHeight w:val="1696"/>
        </w:trPr>
        <w:tc>
          <w:tcPr>
            <w:tcW w:w="2518" w:type="dxa"/>
            <w:vAlign w:val="center"/>
          </w:tcPr>
          <w:p w:rsidR="00B352F9" w:rsidRPr="00485429" w:rsidRDefault="00B352F9" w:rsidP="00EA3E27">
            <w:pPr>
              <w:spacing w:line="276" w:lineRule="auto"/>
              <w:jc w:val="center"/>
              <w:rPr>
                <w:rFonts w:ascii="Arial" w:hAnsi="Arial" w:cs="Arial"/>
                <w:sz w:val="20"/>
                <w:szCs w:val="20"/>
              </w:rPr>
            </w:pPr>
          </w:p>
          <w:p w:rsidR="00B352F9" w:rsidRPr="00485429" w:rsidRDefault="00E17D9E" w:rsidP="00EA3E27">
            <w:pPr>
              <w:spacing w:line="276" w:lineRule="auto"/>
              <w:jc w:val="center"/>
              <w:rPr>
                <w:rFonts w:ascii="Arial" w:hAnsi="Arial" w:cs="Arial"/>
                <w:sz w:val="20"/>
                <w:szCs w:val="20"/>
              </w:rPr>
            </w:pPr>
            <w:r>
              <w:rPr>
                <w:rFonts w:ascii="Arial" w:hAnsi="Arial" w:cs="Arial"/>
                <w:sz w:val="20"/>
                <w:szCs w:val="20"/>
              </w:rPr>
              <w:t xml:space="preserve">Decreto Supremo                                           </w:t>
            </w:r>
            <w:r w:rsidR="009365C7" w:rsidRPr="00485429">
              <w:rPr>
                <w:rFonts w:ascii="Arial" w:hAnsi="Arial" w:cs="Arial"/>
                <w:sz w:val="20"/>
                <w:szCs w:val="20"/>
              </w:rPr>
              <w:t xml:space="preserve"> Nº </w:t>
            </w:r>
            <w:r>
              <w:rPr>
                <w:rFonts w:ascii="Arial" w:hAnsi="Arial" w:cs="Arial"/>
                <w:sz w:val="20"/>
                <w:szCs w:val="20"/>
              </w:rPr>
              <w:t>008</w:t>
            </w:r>
            <w:r w:rsidR="005119E4">
              <w:rPr>
                <w:rFonts w:ascii="Arial" w:hAnsi="Arial" w:cs="Arial"/>
                <w:sz w:val="20"/>
                <w:szCs w:val="20"/>
              </w:rPr>
              <w:t>-2014-</w:t>
            </w:r>
            <w:r>
              <w:rPr>
                <w:rFonts w:ascii="Arial" w:hAnsi="Arial" w:cs="Arial"/>
                <w:sz w:val="20"/>
                <w:szCs w:val="20"/>
              </w:rPr>
              <w:t>EF</w:t>
            </w:r>
          </w:p>
          <w:p w:rsidR="009365C7" w:rsidRPr="00485429" w:rsidRDefault="009365C7" w:rsidP="00EA3E27">
            <w:pPr>
              <w:spacing w:line="276" w:lineRule="auto"/>
              <w:jc w:val="center"/>
              <w:rPr>
                <w:rFonts w:ascii="Arial" w:hAnsi="Arial" w:cs="Arial"/>
                <w:sz w:val="20"/>
                <w:szCs w:val="20"/>
              </w:rPr>
            </w:pPr>
            <w:r w:rsidRPr="00E17D9E">
              <w:rPr>
                <w:rFonts w:ascii="Arial" w:hAnsi="Arial" w:cs="Arial"/>
                <w:sz w:val="20"/>
                <w:szCs w:val="20"/>
              </w:rPr>
              <w:t>(1</w:t>
            </w:r>
            <w:r w:rsidR="00E17D9E" w:rsidRPr="00E17D9E">
              <w:rPr>
                <w:rFonts w:ascii="Arial" w:hAnsi="Arial" w:cs="Arial"/>
                <w:sz w:val="20"/>
                <w:szCs w:val="20"/>
              </w:rPr>
              <w:t>5</w:t>
            </w:r>
            <w:r w:rsidRPr="00E17D9E">
              <w:rPr>
                <w:rFonts w:ascii="Arial" w:hAnsi="Arial" w:cs="Arial"/>
                <w:sz w:val="20"/>
                <w:szCs w:val="20"/>
              </w:rPr>
              <w:t>/01/2014)</w:t>
            </w:r>
          </w:p>
          <w:p w:rsidR="00B352F9" w:rsidRPr="00485429" w:rsidRDefault="00B352F9" w:rsidP="00EA3E27">
            <w:pPr>
              <w:spacing w:line="276" w:lineRule="auto"/>
              <w:rPr>
                <w:rFonts w:ascii="Arial" w:hAnsi="Arial" w:cs="Arial"/>
                <w:b/>
                <w:sz w:val="20"/>
                <w:szCs w:val="20"/>
              </w:rPr>
            </w:pPr>
            <w:r w:rsidRPr="00485429">
              <w:rPr>
                <w:rFonts w:ascii="Arial" w:hAnsi="Arial" w:cs="Arial"/>
                <w:b/>
                <w:sz w:val="20"/>
                <w:szCs w:val="20"/>
              </w:rPr>
              <w:t xml:space="preserve"> </w:t>
            </w:r>
          </w:p>
          <w:p w:rsidR="00B352F9" w:rsidRPr="00485429" w:rsidRDefault="00B352F9" w:rsidP="00EA3E27">
            <w:pPr>
              <w:spacing w:line="276" w:lineRule="auto"/>
              <w:jc w:val="center"/>
              <w:rPr>
                <w:rFonts w:ascii="Arial" w:hAnsi="Arial" w:cs="Arial"/>
                <w:sz w:val="20"/>
                <w:szCs w:val="20"/>
              </w:rPr>
            </w:pPr>
          </w:p>
        </w:tc>
        <w:tc>
          <w:tcPr>
            <w:tcW w:w="2977" w:type="dxa"/>
            <w:vAlign w:val="center"/>
          </w:tcPr>
          <w:p w:rsidR="00B352F9" w:rsidRPr="00485429" w:rsidRDefault="00B352F9" w:rsidP="00EA3E27">
            <w:pPr>
              <w:spacing w:line="276" w:lineRule="auto"/>
              <w:jc w:val="both"/>
              <w:rPr>
                <w:rFonts w:ascii="Arial" w:hAnsi="Arial" w:cs="Arial"/>
                <w:sz w:val="20"/>
                <w:szCs w:val="20"/>
              </w:rPr>
            </w:pPr>
          </w:p>
          <w:p w:rsidR="009365C7" w:rsidRPr="00485429" w:rsidRDefault="009365C7" w:rsidP="00EA3E27">
            <w:pPr>
              <w:autoSpaceDE w:val="0"/>
              <w:autoSpaceDN w:val="0"/>
              <w:adjustRightInd w:val="0"/>
              <w:spacing w:line="276" w:lineRule="auto"/>
              <w:jc w:val="center"/>
              <w:rPr>
                <w:rFonts w:ascii="Arial" w:hAnsi="Arial" w:cs="Arial"/>
                <w:sz w:val="20"/>
                <w:szCs w:val="20"/>
              </w:rPr>
            </w:pPr>
            <w:r w:rsidRPr="00485429">
              <w:rPr>
                <w:rFonts w:ascii="Arial" w:hAnsi="Arial" w:cs="Arial"/>
                <w:sz w:val="20"/>
                <w:szCs w:val="20"/>
              </w:rPr>
              <w:t xml:space="preserve">Aprueban </w:t>
            </w:r>
            <w:r w:rsidR="00E17D9E">
              <w:rPr>
                <w:rFonts w:ascii="Arial" w:hAnsi="Arial" w:cs="Arial"/>
                <w:sz w:val="20"/>
                <w:szCs w:val="20"/>
              </w:rPr>
              <w:t>Texto Único Ordenado de la Ley General del Sistema Nacional de Endeudamiento</w:t>
            </w:r>
          </w:p>
        </w:tc>
        <w:tc>
          <w:tcPr>
            <w:tcW w:w="2412" w:type="dxa"/>
            <w:vAlign w:val="center"/>
          </w:tcPr>
          <w:p w:rsidR="00B352F9" w:rsidRPr="00485429" w:rsidRDefault="00B352F9" w:rsidP="00EA3E27">
            <w:pPr>
              <w:spacing w:line="276" w:lineRule="auto"/>
              <w:jc w:val="center"/>
              <w:rPr>
                <w:rFonts w:ascii="Arial" w:hAnsi="Arial" w:cs="Arial"/>
                <w:sz w:val="20"/>
                <w:szCs w:val="20"/>
              </w:rPr>
            </w:pPr>
            <w:r w:rsidRPr="00485429">
              <w:rPr>
                <w:rFonts w:ascii="Arial" w:hAnsi="Arial" w:cs="Arial"/>
                <w:sz w:val="20"/>
                <w:szCs w:val="20"/>
              </w:rPr>
              <w:t>M</w:t>
            </w:r>
            <w:r w:rsidR="00E17D9E">
              <w:rPr>
                <w:rFonts w:ascii="Arial" w:hAnsi="Arial" w:cs="Arial"/>
                <w:sz w:val="20"/>
                <w:szCs w:val="20"/>
              </w:rPr>
              <w:t>inisterio de Economía y Finanzas</w:t>
            </w:r>
          </w:p>
        </w:tc>
        <w:tc>
          <w:tcPr>
            <w:tcW w:w="6311" w:type="dxa"/>
            <w:vAlign w:val="center"/>
          </w:tcPr>
          <w:p w:rsidR="008F502F" w:rsidRPr="00485429" w:rsidRDefault="008F502F" w:rsidP="00EA3E27">
            <w:pPr>
              <w:pStyle w:val="Prrafodelista"/>
              <w:autoSpaceDE w:val="0"/>
              <w:autoSpaceDN w:val="0"/>
              <w:adjustRightInd w:val="0"/>
              <w:spacing w:line="276" w:lineRule="auto"/>
              <w:ind w:left="360"/>
              <w:jc w:val="both"/>
              <w:rPr>
                <w:rFonts w:ascii="Arial" w:eastAsia="Calibri" w:hAnsi="Arial" w:cs="Arial"/>
                <w:sz w:val="20"/>
                <w:szCs w:val="20"/>
                <w:lang w:eastAsia="es-PE"/>
              </w:rPr>
            </w:pPr>
          </w:p>
          <w:p w:rsidR="008E30F2" w:rsidRPr="003B1448" w:rsidRDefault="00D51D02" w:rsidP="00EA3E27">
            <w:pPr>
              <w:pStyle w:val="Prrafodelista"/>
              <w:numPr>
                <w:ilvl w:val="0"/>
                <w:numId w:val="4"/>
              </w:numPr>
              <w:autoSpaceDE w:val="0"/>
              <w:autoSpaceDN w:val="0"/>
              <w:adjustRightInd w:val="0"/>
              <w:spacing w:line="276" w:lineRule="auto"/>
              <w:jc w:val="both"/>
              <w:rPr>
                <w:rFonts w:ascii="Arial" w:eastAsia="Calibri" w:hAnsi="Arial" w:cs="Arial"/>
                <w:b/>
                <w:sz w:val="20"/>
                <w:szCs w:val="20"/>
                <w:lang w:eastAsia="es-PE"/>
              </w:rPr>
            </w:pPr>
            <w:r w:rsidRPr="00485429">
              <w:rPr>
                <w:rFonts w:ascii="Arial" w:eastAsia="Calibri" w:hAnsi="Arial" w:cs="Arial"/>
                <w:sz w:val="20"/>
                <w:szCs w:val="20"/>
                <w:lang w:eastAsia="es-PE"/>
              </w:rPr>
              <w:t>Se aprueba</w:t>
            </w:r>
            <w:r w:rsidR="00E17D9E">
              <w:rPr>
                <w:rFonts w:ascii="Arial" w:eastAsia="Calibri" w:hAnsi="Arial" w:cs="Arial"/>
                <w:sz w:val="20"/>
                <w:szCs w:val="20"/>
                <w:lang w:eastAsia="es-PE"/>
              </w:rPr>
              <w:t xml:space="preserve"> el nuevo </w:t>
            </w:r>
            <w:r w:rsidR="00E17D9E">
              <w:rPr>
                <w:rFonts w:ascii="Arial" w:hAnsi="Arial" w:cs="Arial"/>
                <w:sz w:val="20"/>
                <w:szCs w:val="20"/>
              </w:rPr>
              <w:t>Texto Único Ordenado de la Ley Nº 28563, Ley General del Sistema Nacional de Endeudamiento, cuyo texto forma parte del presente Decreto Supremo.</w:t>
            </w:r>
          </w:p>
          <w:p w:rsidR="003B1448" w:rsidRPr="00E17D9E" w:rsidRDefault="003B1448" w:rsidP="00EA3E27">
            <w:pPr>
              <w:pStyle w:val="Prrafodelista"/>
              <w:autoSpaceDE w:val="0"/>
              <w:autoSpaceDN w:val="0"/>
              <w:adjustRightInd w:val="0"/>
              <w:spacing w:line="276" w:lineRule="auto"/>
              <w:ind w:left="360"/>
              <w:jc w:val="both"/>
              <w:rPr>
                <w:rFonts w:ascii="Arial" w:eastAsia="Calibri" w:hAnsi="Arial" w:cs="Arial"/>
                <w:b/>
                <w:sz w:val="20"/>
                <w:szCs w:val="20"/>
                <w:lang w:eastAsia="es-PE"/>
              </w:rPr>
            </w:pPr>
          </w:p>
          <w:p w:rsidR="003B1448" w:rsidRPr="003B1448" w:rsidRDefault="009F3566" w:rsidP="00EA3E27">
            <w:pPr>
              <w:pStyle w:val="Prrafodelista"/>
              <w:numPr>
                <w:ilvl w:val="0"/>
                <w:numId w:val="4"/>
              </w:numPr>
              <w:autoSpaceDE w:val="0"/>
              <w:autoSpaceDN w:val="0"/>
              <w:adjustRightInd w:val="0"/>
              <w:spacing w:line="276" w:lineRule="auto"/>
              <w:jc w:val="both"/>
              <w:rPr>
                <w:rFonts w:ascii="Arial" w:eastAsia="Calibri" w:hAnsi="Arial" w:cs="Arial"/>
                <w:b/>
                <w:sz w:val="20"/>
                <w:szCs w:val="20"/>
                <w:lang w:eastAsia="es-PE"/>
              </w:rPr>
            </w:pPr>
            <w:r>
              <w:rPr>
                <w:rFonts w:ascii="Arial" w:hAnsi="Arial" w:cs="Arial"/>
                <w:sz w:val="20"/>
                <w:szCs w:val="20"/>
              </w:rPr>
              <w:t xml:space="preserve">Esta norma </w:t>
            </w:r>
            <w:r w:rsidR="00E17D9E">
              <w:rPr>
                <w:rFonts w:ascii="Arial" w:hAnsi="Arial" w:cs="Arial"/>
                <w:sz w:val="20"/>
                <w:szCs w:val="20"/>
              </w:rPr>
              <w:t xml:space="preserve">deroga </w:t>
            </w:r>
            <w:r>
              <w:rPr>
                <w:rFonts w:ascii="Arial" w:hAnsi="Arial" w:cs="Arial"/>
                <w:sz w:val="20"/>
                <w:szCs w:val="20"/>
              </w:rPr>
              <w:t>el Texto Único Ordenado de la Ley Nº 28563, aprobada por el Decreto Supremo Nº 034-2012-EF.</w:t>
            </w:r>
          </w:p>
          <w:p w:rsidR="003B1448" w:rsidRPr="003B1448" w:rsidRDefault="003B1448" w:rsidP="00EA3E27">
            <w:pPr>
              <w:autoSpaceDE w:val="0"/>
              <w:autoSpaceDN w:val="0"/>
              <w:adjustRightInd w:val="0"/>
              <w:spacing w:line="276" w:lineRule="auto"/>
              <w:jc w:val="both"/>
              <w:rPr>
                <w:rFonts w:ascii="Arial" w:eastAsia="Calibri" w:hAnsi="Arial" w:cs="Arial"/>
                <w:b/>
                <w:sz w:val="20"/>
                <w:szCs w:val="20"/>
                <w:lang w:eastAsia="es-PE"/>
              </w:rPr>
            </w:pPr>
          </w:p>
          <w:p w:rsidR="003B1448" w:rsidRPr="00205A79" w:rsidRDefault="009F3566" w:rsidP="00EA3E27">
            <w:pPr>
              <w:pStyle w:val="Prrafodelista"/>
              <w:numPr>
                <w:ilvl w:val="0"/>
                <w:numId w:val="4"/>
              </w:numPr>
              <w:autoSpaceDE w:val="0"/>
              <w:autoSpaceDN w:val="0"/>
              <w:adjustRightInd w:val="0"/>
              <w:spacing w:line="276" w:lineRule="auto"/>
              <w:jc w:val="both"/>
              <w:rPr>
                <w:rFonts w:ascii="Arial" w:eastAsia="Calibri" w:hAnsi="Arial" w:cs="Arial"/>
                <w:b/>
                <w:sz w:val="20"/>
                <w:szCs w:val="20"/>
                <w:lang w:eastAsia="es-PE"/>
              </w:rPr>
            </w:pPr>
            <w:r>
              <w:rPr>
                <w:rFonts w:ascii="Arial" w:hAnsi="Arial" w:cs="Arial"/>
                <w:sz w:val="20"/>
                <w:szCs w:val="20"/>
              </w:rPr>
              <w:t xml:space="preserve">La </w:t>
            </w:r>
            <w:r w:rsidR="003B1448">
              <w:rPr>
                <w:rFonts w:ascii="Arial" w:eastAsia="Calibri" w:hAnsi="Arial" w:cs="Arial"/>
                <w:sz w:val="20"/>
                <w:szCs w:val="20"/>
                <w:lang w:eastAsia="es-PE"/>
              </w:rPr>
              <w:t xml:space="preserve">presente </w:t>
            </w:r>
            <w:r>
              <w:rPr>
                <w:rFonts w:ascii="Arial" w:eastAsia="Calibri" w:hAnsi="Arial" w:cs="Arial"/>
                <w:sz w:val="20"/>
                <w:szCs w:val="20"/>
                <w:lang w:eastAsia="es-PE"/>
              </w:rPr>
              <w:t xml:space="preserve">norma </w:t>
            </w:r>
            <w:r w:rsidR="003B1448" w:rsidRPr="003B1448">
              <w:rPr>
                <w:rFonts w:ascii="Arial" w:eastAsia="Calibri" w:hAnsi="Arial" w:cs="Arial"/>
                <w:sz w:val="20"/>
                <w:szCs w:val="20"/>
                <w:lang w:eastAsia="es-PE"/>
              </w:rPr>
              <w:t>establece las normas generales</w:t>
            </w:r>
            <w:r w:rsidR="003B1448">
              <w:rPr>
                <w:rFonts w:ascii="Arial" w:eastAsia="Calibri" w:hAnsi="Arial" w:cs="Arial"/>
                <w:sz w:val="20"/>
                <w:szCs w:val="20"/>
                <w:lang w:eastAsia="es-PE"/>
              </w:rPr>
              <w:t xml:space="preserve"> </w:t>
            </w:r>
            <w:r w:rsidR="003B1448" w:rsidRPr="003B1448">
              <w:rPr>
                <w:rFonts w:ascii="Arial" w:eastAsia="Calibri" w:hAnsi="Arial" w:cs="Arial"/>
                <w:sz w:val="20"/>
                <w:szCs w:val="20"/>
                <w:lang w:eastAsia="es-PE"/>
              </w:rPr>
              <w:t>que rigen los procesos fundamentales del Sistema</w:t>
            </w:r>
            <w:r w:rsidR="003B1448">
              <w:rPr>
                <w:rFonts w:ascii="Arial" w:eastAsia="Calibri" w:hAnsi="Arial" w:cs="Arial"/>
                <w:sz w:val="20"/>
                <w:szCs w:val="20"/>
                <w:lang w:eastAsia="es-PE"/>
              </w:rPr>
              <w:t xml:space="preserve"> </w:t>
            </w:r>
            <w:r w:rsidR="00205A79">
              <w:rPr>
                <w:rFonts w:ascii="Arial" w:eastAsia="Calibri" w:hAnsi="Arial" w:cs="Arial"/>
                <w:sz w:val="20"/>
                <w:szCs w:val="20"/>
                <w:lang w:eastAsia="es-PE"/>
              </w:rPr>
              <w:t xml:space="preserve">Nacional de Endeudamiento, </w:t>
            </w:r>
            <w:r w:rsidR="003B1448" w:rsidRPr="00205A79">
              <w:rPr>
                <w:rFonts w:ascii="Arial" w:eastAsia="Calibri" w:hAnsi="Arial" w:cs="Arial"/>
                <w:sz w:val="20"/>
                <w:szCs w:val="20"/>
                <w:lang w:eastAsia="es-PE"/>
              </w:rPr>
              <w:t xml:space="preserve">norma las garantías que otorgue o contrate el Gobierno Nacional para atender requerimientos derivados de los procesos de promoción de la inversión privada y concesiones. </w:t>
            </w:r>
          </w:p>
          <w:p w:rsidR="003B1448" w:rsidRDefault="003B1448" w:rsidP="00EA3E27">
            <w:pPr>
              <w:pStyle w:val="Prrafodelista"/>
              <w:autoSpaceDE w:val="0"/>
              <w:autoSpaceDN w:val="0"/>
              <w:adjustRightInd w:val="0"/>
              <w:spacing w:line="276" w:lineRule="auto"/>
              <w:ind w:left="360"/>
              <w:jc w:val="both"/>
              <w:rPr>
                <w:rFonts w:ascii="Arial" w:eastAsia="Calibri" w:hAnsi="Arial" w:cs="Arial"/>
                <w:sz w:val="20"/>
                <w:szCs w:val="20"/>
                <w:lang w:eastAsia="es-PE"/>
              </w:rPr>
            </w:pPr>
          </w:p>
          <w:p w:rsidR="003B1448" w:rsidRDefault="003B1448" w:rsidP="00EA3E27">
            <w:pPr>
              <w:pStyle w:val="Prrafodelista"/>
              <w:autoSpaceDE w:val="0"/>
              <w:autoSpaceDN w:val="0"/>
              <w:adjustRightInd w:val="0"/>
              <w:spacing w:line="276" w:lineRule="auto"/>
              <w:ind w:left="360"/>
              <w:jc w:val="both"/>
              <w:rPr>
                <w:rFonts w:ascii="Arial" w:eastAsia="Calibri" w:hAnsi="Arial" w:cs="Arial"/>
                <w:sz w:val="20"/>
                <w:szCs w:val="20"/>
                <w:lang w:eastAsia="es-PE"/>
              </w:rPr>
            </w:pPr>
            <w:r w:rsidRPr="003B1448">
              <w:rPr>
                <w:rFonts w:ascii="Arial" w:eastAsia="Calibri" w:hAnsi="Arial" w:cs="Arial"/>
                <w:sz w:val="20"/>
                <w:szCs w:val="20"/>
                <w:lang w:eastAsia="es-PE"/>
              </w:rPr>
              <w:t>Asimismo, regula los aspectos relativos a la</w:t>
            </w:r>
            <w:r>
              <w:rPr>
                <w:rFonts w:ascii="Arial" w:eastAsia="Calibri" w:hAnsi="Arial" w:cs="Arial"/>
                <w:sz w:val="20"/>
                <w:szCs w:val="20"/>
                <w:lang w:eastAsia="es-PE"/>
              </w:rPr>
              <w:t xml:space="preserve"> </w:t>
            </w:r>
            <w:r w:rsidRPr="003B1448">
              <w:rPr>
                <w:rFonts w:ascii="Arial" w:eastAsia="Calibri" w:hAnsi="Arial" w:cs="Arial"/>
                <w:sz w:val="20"/>
                <w:szCs w:val="20"/>
                <w:lang w:eastAsia="es-PE"/>
              </w:rPr>
              <w:t>representación, aportes, suscripción de acciones,</w:t>
            </w:r>
            <w:r>
              <w:rPr>
                <w:rFonts w:ascii="Arial" w:eastAsia="Calibri" w:hAnsi="Arial" w:cs="Arial"/>
                <w:sz w:val="20"/>
                <w:szCs w:val="20"/>
                <w:lang w:eastAsia="es-PE"/>
              </w:rPr>
              <w:t xml:space="preserve"> </w:t>
            </w:r>
            <w:r w:rsidRPr="003B1448">
              <w:rPr>
                <w:rFonts w:ascii="Arial" w:eastAsia="Calibri" w:hAnsi="Arial" w:cs="Arial"/>
                <w:sz w:val="20"/>
                <w:szCs w:val="20"/>
                <w:lang w:eastAsia="es-PE"/>
              </w:rPr>
              <w:t xml:space="preserve">contribuciones y </w:t>
            </w:r>
            <w:r>
              <w:rPr>
                <w:rFonts w:ascii="Arial" w:eastAsia="Calibri" w:hAnsi="Arial" w:cs="Arial"/>
                <w:sz w:val="20"/>
                <w:szCs w:val="20"/>
                <w:lang w:eastAsia="es-PE"/>
              </w:rPr>
              <w:t>demás pagos a los organismos fi</w:t>
            </w:r>
            <w:r w:rsidRPr="003B1448">
              <w:rPr>
                <w:rFonts w:ascii="Arial" w:eastAsia="Calibri" w:hAnsi="Arial" w:cs="Arial"/>
                <w:sz w:val="20"/>
                <w:szCs w:val="20"/>
                <w:lang w:eastAsia="es-PE"/>
              </w:rPr>
              <w:t>nancieros</w:t>
            </w:r>
            <w:r>
              <w:rPr>
                <w:rFonts w:ascii="Arial" w:eastAsia="Calibri" w:hAnsi="Arial" w:cs="Arial"/>
                <w:sz w:val="20"/>
                <w:szCs w:val="20"/>
                <w:lang w:eastAsia="es-PE"/>
              </w:rPr>
              <w:t xml:space="preserve"> </w:t>
            </w:r>
            <w:r w:rsidRPr="003B1448">
              <w:rPr>
                <w:rFonts w:ascii="Arial" w:eastAsia="Calibri" w:hAnsi="Arial" w:cs="Arial"/>
                <w:sz w:val="20"/>
                <w:szCs w:val="20"/>
                <w:lang w:eastAsia="es-PE"/>
              </w:rPr>
              <w:t>internacionales</w:t>
            </w:r>
            <w:r w:rsidR="009F3566">
              <w:rPr>
                <w:rFonts w:ascii="Arial" w:eastAsia="Calibri" w:hAnsi="Arial" w:cs="Arial"/>
                <w:sz w:val="20"/>
                <w:szCs w:val="20"/>
                <w:lang w:eastAsia="es-PE"/>
              </w:rPr>
              <w:t xml:space="preserve"> a los cuales pertenece el Perú, entre otros.</w:t>
            </w:r>
          </w:p>
          <w:p w:rsidR="003B1448" w:rsidRDefault="003B1448" w:rsidP="00EA3E27">
            <w:pPr>
              <w:pStyle w:val="Prrafodelista"/>
              <w:autoSpaceDE w:val="0"/>
              <w:autoSpaceDN w:val="0"/>
              <w:adjustRightInd w:val="0"/>
              <w:spacing w:line="276" w:lineRule="auto"/>
              <w:ind w:left="360"/>
              <w:jc w:val="both"/>
              <w:rPr>
                <w:rFonts w:ascii="Arial" w:eastAsia="Calibri" w:hAnsi="Arial" w:cs="Arial"/>
                <w:sz w:val="20"/>
                <w:szCs w:val="20"/>
                <w:lang w:eastAsia="es-PE"/>
              </w:rPr>
            </w:pPr>
          </w:p>
          <w:p w:rsidR="003B1448" w:rsidRDefault="003B1448" w:rsidP="00EA3E27">
            <w:pPr>
              <w:pStyle w:val="Prrafodelista"/>
              <w:numPr>
                <w:ilvl w:val="0"/>
                <w:numId w:val="4"/>
              </w:numPr>
              <w:autoSpaceDE w:val="0"/>
              <w:autoSpaceDN w:val="0"/>
              <w:adjustRightInd w:val="0"/>
              <w:spacing w:line="276" w:lineRule="auto"/>
              <w:jc w:val="both"/>
              <w:rPr>
                <w:rFonts w:ascii="Arial" w:eastAsia="Calibri" w:hAnsi="Arial" w:cs="Arial"/>
                <w:sz w:val="20"/>
                <w:szCs w:val="20"/>
                <w:lang w:eastAsia="es-PE"/>
              </w:rPr>
            </w:pPr>
            <w:r w:rsidRPr="00102213">
              <w:rPr>
                <w:rFonts w:ascii="Arial" w:eastAsia="Calibri" w:hAnsi="Arial" w:cs="Arial"/>
                <w:sz w:val="20"/>
                <w:szCs w:val="20"/>
                <w:lang w:eastAsia="es-PE"/>
              </w:rPr>
              <w:t xml:space="preserve">El ámbito de aplicación de la Ley comprende a las entidades y organismos señalados en el </w:t>
            </w:r>
            <w:r w:rsidR="00102213" w:rsidRPr="00102213">
              <w:rPr>
                <w:rFonts w:ascii="Arial" w:eastAsia="Calibri" w:hAnsi="Arial" w:cs="Arial"/>
                <w:sz w:val="20"/>
                <w:szCs w:val="20"/>
                <w:lang w:eastAsia="es-PE"/>
              </w:rPr>
              <w:t>artículo 2</w:t>
            </w:r>
            <w:r w:rsidR="009F3566">
              <w:rPr>
                <w:rFonts w:ascii="Arial" w:eastAsia="Calibri" w:hAnsi="Arial" w:cs="Arial"/>
                <w:sz w:val="20"/>
                <w:szCs w:val="20"/>
                <w:lang w:eastAsia="es-PE"/>
              </w:rPr>
              <w:t>º</w:t>
            </w:r>
            <w:r w:rsidR="00102213" w:rsidRPr="00102213">
              <w:rPr>
                <w:rFonts w:ascii="Arial" w:eastAsia="Calibri" w:hAnsi="Arial" w:cs="Arial"/>
                <w:sz w:val="20"/>
                <w:szCs w:val="20"/>
                <w:lang w:eastAsia="es-PE"/>
              </w:rPr>
              <w:t xml:space="preserve"> de la Ley Nº 28112, Ley Marco de la Administración Financiera del Sector Público, que incluye a las entidades y organismos representativos de los Poderes Ejecutivo, Legislativo y Judicial, así como al Ministerio Público, los conformantes del Sistema Nacional de Elecciones, el Consejo Nacional de la Magistratura, la Defensoría del Pueblo, Tribunal Constitucional, la Contraloría General de la República, las universidades públicas, las correspondientes entidades descentralizadas, así como también los Gobiernos Regionales a través de sus organismos representativos, los Gobiernos Locales, sus empresas y organismos públicos descentralizados e igualmente </w:t>
            </w:r>
            <w:r w:rsidR="009F3566">
              <w:rPr>
                <w:rFonts w:ascii="Arial" w:eastAsia="Calibri" w:hAnsi="Arial" w:cs="Arial"/>
                <w:sz w:val="20"/>
                <w:szCs w:val="20"/>
                <w:lang w:eastAsia="es-PE"/>
              </w:rPr>
              <w:t xml:space="preserve">a </w:t>
            </w:r>
            <w:r w:rsidR="00102213" w:rsidRPr="00102213">
              <w:rPr>
                <w:rFonts w:ascii="Arial" w:eastAsia="Calibri" w:hAnsi="Arial" w:cs="Arial"/>
                <w:sz w:val="20"/>
                <w:szCs w:val="20"/>
                <w:lang w:eastAsia="es-PE"/>
              </w:rPr>
              <w:t>las personas jurídicas de derecho público con patrimonio propio que ejercen funciones reguladoras, supervisoras y las administradoras de fondos y de tributos, toda otra persona jurídica o relación jurídica o fideicomiso, donde el Estado posea la mayoría de su patrimonio o capital social o que administre fondos o bienes públicos.</w:t>
            </w:r>
          </w:p>
          <w:p w:rsidR="00102213" w:rsidRDefault="00102213" w:rsidP="00EA3E27">
            <w:pPr>
              <w:autoSpaceDE w:val="0"/>
              <w:autoSpaceDN w:val="0"/>
              <w:adjustRightInd w:val="0"/>
              <w:spacing w:line="276" w:lineRule="auto"/>
              <w:jc w:val="both"/>
              <w:rPr>
                <w:rFonts w:ascii="Arial" w:eastAsia="Calibri" w:hAnsi="Arial" w:cs="Arial"/>
                <w:sz w:val="20"/>
                <w:szCs w:val="20"/>
                <w:lang w:eastAsia="es-PE"/>
              </w:rPr>
            </w:pPr>
          </w:p>
          <w:p w:rsidR="005D0BDC" w:rsidRDefault="00102213" w:rsidP="00EA3E27">
            <w:pPr>
              <w:pStyle w:val="Prrafodelista"/>
              <w:numPr>
                <w:ilvl w:val="0"/>
                <w:numId w:val="4"/>
              </w:numPr>
              <w:autoSpaceDE w:val="0"/>
              <w:autoSpaceDN w:val="0"/>
              <w:adjustRightInd w:val="0"/>
              <w:spacing w:line="276" w:lineRule="auto"/>
              <w:jc w:val="both"/>
              <w:rPr>
                <w:rFonts w:ascii="Arial" w:eastAsia="Calibri" w:hAnsi="Arial" w:cs="Arial"/>
                <w:sz w:val="20"/>
                <w:szCs w:val="20"/>
                <w:lang w:eastAsia="es-PE"/>
              </w:rPr>
            </w:pPr>
            <w:r>
              <w:rPr>
                <w:rFonts w:ascii="Arial" w:eastAsia="Calibri" w:hAnsi="Arial" w:cs="Arial"/>
                <w:sz w:val="20"/>
                <w:szCs w:val="20"/>
                <w:lang w:eastAsia="es-PE"/>
              </w:rPr>
              <w:t>Se dispone que l</w:t>
            </w:r>
            <w:r w:rsidRPr="00102213">
              <w:rPr>
                <w:rFonts w:ascii="Arial" w:eastAsia="Calibri" w:hAnsi="Arial" w:cs="Arial"/>
                <w:sz w:val="20"/>
                <w:szCs w:val="20"/>
                <w:lang w:eastAsia="es-PE"/>
              </w:rPr>
              <w:t>as operaciones de endeudamiento</w:t>
            </w:r>
            <w:r>
              <w:rPr>
                <w:rFonts w:ascii="Arial" w:eastAsia="Calibri" w:hAnsi="Arial" w:cs="Arial"/>
                <w:sz w:val="20"/>
                <w:szCs w:val="20"/>
                <w:lang w:eastAsia="es-PE"/>
              </w:rPr>
              <w:t xml:space="preserve"> público</w:t>
            </w:r>
            <w:r w:rsidRPr="00102213">
              <w:rPr>
                <w:rFonts w:ascii="Arial" w:eastAsia="Calibri" w:hAnsi="Arial" w:cs="Arial"/>
                <w:sz w:val="20"/>
                <w:szCs w:val="20"/>
                <w:lang w:eastAsia="es-PE"/>
              </w:rPr>
              <w:t xml:space="preserve"> </w:t>
            </w:r>
            <w:r>
              <w:rPr>
                <w:rFonts w:ascii="Arial" w:eastAsia="Calibri" w:hAnsi="Arial" w:cs="Arial"/>
                <w:sz w:val="20"/>
                <w:szCs w:val="20"/>
                <w:lang w:eastAsia="es-PE"/>
              </w:rPr>
              <w:t xml:space="preserve">se apruebe </w:t>
            </w:r>
            <w:r w:rsidRPr="00102213">
              <w:rPr>
                <w:rFonts w:ascii="Arial" w:eastAsia="Calibri" w:hAnsi="Arial" w:cs="Arial"/>
                <w:sz w:val="20"/>
                <w:szCs w:val="20"/>
                <w:lang w:eastAsia="es-PE"/>
              </w:rPr>
              <w:t>con arreglo a lo dispuesto por la presente Ley, las Leyes</w:t>
            </w:r>
            <w:r>
              <w:rPr>
                <w:rFonts w:ascii="Arial" w:eastAsia="Calibri" w:hAnsi="Arial" w:cs="Arial"/>
                <w:sz w:val="20"/>
                <w:szCs w:val="20"/>
                <w:lang w:eastAsia="es-PE"/>
              </w:rPr>
              <w:t xml:space="preserve"> </w:t>
            </w:r>
            <w:r w:rsidRPr="00102213">
              <w:rPr>
                <w:rFonts w:ascii="Arial" w:eastAsia="Calibri" w:hAnsi="Arial" w:cs="Arial"/>
                <w:sz w:val="20"/>
                <w:szCs w:val="20"/>
                <w:lang w:eastAsia="es-PE"/>
              </w:rPr>
              <w:t>de Endeudamiento del Sector Público que se aprueban</w:t>
            </w:r>
            <w:r>
              <w:rPr>
                <w:rFonts w:ascii="Arial" w:eastAsia="Calibri" w:hAnsi="Arial" w:cs="Arial"/>
                <w:sz w:val="20"/>
                <w:szCs w:val="20"/>
                <w:lang w:eastAsia="es-PE"/>
              </w:rPr>
              <w:t xml:space="preserve"> </w:t>
            </w:r>
            <w:r w:rsidRPr="00102213">
              <w:rPr>
                <w:rFonts w:ascii="Arial" w:eastAsia="Calibri" w:hAnsi="Arial" w:cs="Arial"/>
                <w:sz w:val="20"/>
                <w:szCs w:val="20"/>
                <w:lang w:eastAsia="es-PE"/>
              </w:rPr>
              <w:t>anualmente y las directivas que emita la Dirección General</w:t>
            </w:r>
            <w:r>
              <w:rPr>
                <w:rFonts w:ascii="Arial" w:eastAsia="Calibri" w:hAnsi="Arial" w:cs="Arial"/>
                <w:sz w:val="20"/>
                <w:szCs w:val="20"/>
                <w:lang w:eastAsia="es-PE"/>
              </w:rPr>
              <w:t xml:space="preserve"> </w:t>
            </w:r>
            <w:r w:rsidRPr="00102213">
              <w:rPr>
                <w:rFonts w:ascii="Arial" w:eastAsia="Calibri" w:hAnsi="Arial" w:cs="Arial"/>
                <w:sz w:val="20"/>
                <w:szCs w:val="20"/>
                <w:lang w:eastAsia="es-PE"/>
              </w:rPr>
              <w:t>de Endeudamiento y Tesoro Público, bajo sanción de</w:t>
            </w:r>
            <w:r>
              <w:rPr>
                <w:rFonts w:ascii="Arial" w:eastAsia="Calibri" w:hAnsi="Arial" w:cs="Arial"/>
                <w:sz w:val="20"/>
                <w:szCs w:val="20"/>
                <w:lang w:eastAsia="es-PE"/>
              </w:rPr>
              <w:t xml:space="preserve"> </w:t>
            </w:r>
            <w:r w:rsidRPr="00102213">
              <w:rPr>
                <w:rFonts w:ascii="Arial" w:eastAsia="Calibri" w:hAnsi="Arial" w:cs="Arial"/>
                <w:sz w:val="20"/>
                <w:szCs w:val="20"/>
                <w:lang w:eastAsia="es-PE"/>
              </w:rPr>
              <w:t>nulidad y sin perjuicio de la responsabilidad personal de</w:t>
            </w:r>
            <w:r>
              <w:rPr>
                <w:rFonts w:ascii="Arial" w:eastAsia="Calibri" w:hAnsi="Arial" w:cs="Arial"/>
                <w:sz w:val="20"/>
                <w:szCs w:val="20"/>
                <w:lang w:eastAsia="es-PE"/>
              </w:rPr>
              <w:t xml:space="preserve"> </w:t>
            </w:r>
            <w:r w:rsidRPr="00102213">
              <w:rPr>
                <w:rFonts w:ascii="Arial" w:eastAsia="Calibri" w:hAnsi="Arial" w:cs="Arial"/>
                <w:sz w:val="20"/>
                <w:szCs w:val="20"/>
                <w:lang w:eastAsia="es-PE"/>
              </w:rPr>
              <w:t>quienes la realicen.</w:t>
            </w:r>
          </w:p>
          <w:p w:rsidR="005D0BDC" w:rsidRPr="005D0BDC" w:rsidRDefault="005D0BDC" w:rsidP="00EA3E27">
            <w:pPr>
              <w:pStyle w:val="Prrafodelista"/>
              <w:spacing w:line="276" w:lineRule="auto"/>
              <w:rPr>
                <w:rFonts w:ascii="Arial" w:eastAsia="Calibri" w:hAnsi="Arial" w:cs="Arial"/>
                <w:sz w:val="20"/>
                <w:szCs w:val="20"/>
                <w:lang w:eastAsia="es-PE"/>
              </w:rPr>
            </w:pPr>
          </w:p>
          <w:p w:rsidR="006501D7" w:rsidRDefault="00A60E51" w:rsidP="00EA3E27">
            <w:pPr>
              <w:pStyle w:val="Prrafodelista"/>
              <w:numPr>
                <w:ilvl w:val="0"/>
                <w:numId w:val="4"/>
              </w:numPr>
              <w:autoSpaceDE w:val="0"/>
              <w:autoSpaceDN w:val="0"/>
              <w:adjustRightInd w:val="0"/>
              <w:spacing w:line="276" w:lineRule="auto"/>
              <w:jc w:val="both"/>
              <w:rPr>
                <w:rFonts w:ascii="Arial" w:eastAsia="Calibri" w:hAnsi="Arial" w:cs="Arial"/>
                <w:sz w:val="20"/>
                <w:szCs w:val="20"/>
                <w:lang w:eastAsia="es-PE"/>
              </w:rPr>
            </w:pPr>
            <w:r>
              <w:rPr>
                <w:rFonts w:ascii="Arial" w:eastAsia="Calibri" w:hAnsi="Arial" w:cs="Arial"/>
                <w:sz w:val="20"/>
                <w:szCs w:val="20"/>
                <w:lang w:eastAsia="es-PE"/>
              </w:rPr>
              <w:t>E</w:t>
            </w:r>
            <w:r w:rsidR="005D0BDC" w:rsidRPr="005D0BDC">
              <w:rPr>
                <w:rFonts w:ascii="Arial" w:eastAsia="Calibri" w:hAnsi="Arial" w:cs="Arial"/>
                <w:sz w:val="20"/>
                <w:szCs w:val="20"/>
                <w:lang w:eastAsia="es-PE"/>
              </w:rPr>
              <w:t xml:space="preserve">l proceso de registro </w:t>
            </w:r>
            <w:r w:rsidR="00102213" w:rsidRPr="005D0BDC">
              <w:rPr>
                <w:rFonts w:ascii="Arial" w:eastAsia="Calibri" w:hAnsi="Arial" w:cs="Arial"/>
                <w:sz w:val="20"/>
                <w:szCs w:val="20"/>
                <w:lang w:eastAsia="es-PE"/>
              </w:rPr>
              <w:t>de la información relacionada</w:t>
            </w:r>
            <w:r w:rsidR="005D0BDC">
              <w:rPr>
                <w:rFonts w:ascii="Arial" w:eastAsia="Calibri" w:hAnsi="Arial" w:cs="Arial"/>
                <w:sz w:val="20"/>
                <w:szCs w:val="20"/>
                <w:lang w:eastAsia="es-PE"/>
              </w:rPr>
              <w:t xml:space="preserve"> </w:t>
            </w:r>
            <w:r w:rsidR="00102213" w:rsidRPr="005D0BDC">
              <w:rPr>
                <w:rFonts w:ascii="Arial" w:eastAsia="Calibri" w:hAnsi="Arial" w:cs="Arial"/>
                <w:sz w:val="20"/>
                <w:szCs w:val="20"/>
                <w:lang w:eastAsia="es-PE"/>
              </w:rPr>
              <w:t>con las operaciones de endeudamiento público y de</w:t>
            </w:r>
            <w:r w:rsidR="005D0BDC">
              <w:rPr>
                <w:rFonts w:ascii="Arial" w:eastAsia="Calibri" w:hAnsi="Arial" w:cs="Arial"/>
                <w:sz w:val="20"/>
                <w:szCs w:val="20"/>
                <w:lang w:eastAsia="es-PE"/>
              </w:rPr>
              <w:t xml:space="preserve"> </w:t>
            </w:r>
            <w:r w:rsidR="00102213" w:rsidRPr="005D0BDC">
              <w:rPr>
                <w:rFonts w:ascii="Arial" w:eastAsia="Calibri" w:hAnsi="Arial" w:cs="Arial"/>
                <w:sz w:val="20"/>
                <w:szCs w:val="20"/>
                <w:lang w:eastAsia="es-PE"/>
              </w:rPr>
              <w:t>administración de deuda</w:t>
            </w:r>
            <w:r w:rsidR="005D0BDC">
              <w:rPr>
                <w:rFonts w:ascii="Arial" w:eastAsia="Calibri" w:hAnsi="Arial" w:cs="Arial"/>
                <w:sz w:val="20"/>
                <w:szCs w:val="20"/>
                <w:lang w:eastAsia="es-PE"/>
              </w:rPr>
              <w:t>, es único y obligatorio</w:t>
            </w:r>
            <w:r w:rsidR="00102213" w:rsidRPr="005D0BDC">
              <w:rPr>
                <w:rFonts w:ascii="Arial" w:eastAsia="Calibri" w:hAnsi="Arial" w:cs="Arial"/>
                <w:sz w:val="20"/>
                <w:szCs w:val="20"/>
                <w:lang w:eastAsia="es-PE"/>
              </w:rPr>
              <w:t xml:space="preserve"> por parte</w:t>
            </w:r>
            <w:r w:rsidR="005D0BDC">
              <w:rPr>
                <w:rFonts w:ascii="Arial" w:eastAsia="Calibri" w:hAnsi="Arial" w:cs="Arial"/>
                <w:sz w:val="20"/>
                <w:szCs w:val="20"/>
                <w:lang w:eastAsia="es-PE"/>
              </w:rPr>
              <w:t xml:space="preserve"> </w:t>
            </w:r>
            <w:r w:rsidR="00102213" w:rsidRPr="005D0BDC">
              <w:rPr>
                <w:rFonts w:ascii="Arial" w:eastAsia="Calibri" w:hAnsi="Arial" w:cs="Arial"/>
                <w:sz w:val="20"/>
                <w:szCs w:val="20"/>
                <w:lang w:eastAsia="es-PE"/>
              </w:rPr>
              <w:t xml:space="preserve">de todas las entidades y organismos públicos </w:t>
            </w:r>
            <w:r w:rsidR="006501D7">
              <w:rPr>
                <w:rFonts w:ascii="Arial" w:eastAsia="Calibri" w:hAnsi="Arial" w:cs="Arial"/>
                <w:sz w:val="20"/>
                <w:szCs w:val="20"/>
                <w:lang w:eastAsia="es-PE"/>
              </w:rPr>
              <w:t>comprendidos en el ámbito</w:t>
            </w:r>
            <w:r w:rsidR="00102213" w:rsidRPr="005D0BDC">
              <w:rPr>
                <w:rFonts w:ascii="Arial" w:eastAsia="Calibri" w:hAnsi="Arial" w:cs="Arial"/>
                <w:sz w:val="20"/>
                <w:szCs w:val="20"/>
                <w:lang w:eastAsia="es-PE"/>
              </w:rPr>
              <w:t xml:space="preserve"> de la presente Ley, en el Sistema</w:t>
            </w:r>
            <w:r w:rsidR="005D0BDC">
              <w:rPr>
                <w:rFonts w:ascii="Arial" w:eastAsia="Calibri" w:hAnsi="Arial" w:cs="Arial"/>
                <w:sz w:val="20"/>
                <w:szCs w:val="20"/>
                <w:lang w:eastAsia="es-PE"/>
              </w:rPr>
              <w:t xml:space="preserve"> </w:t>
            </w:r>
            <w:r w:rsidR="00102213" w:rsidRPr="005D0BDC">
              <w:rPr>
                <w:rFonts w:ascii="Arial" w:eastAsia="Calibri" w:hAnsi="Arial" w:cs="Arial"/>
                <w:sz w:val="20"/>
                <w:szCs w:val="20"/>
                <w:lang w:eastAsia="es-PE"/>
              </w:rPr>
              <w:t>Integrado de Administración Financiera del Sector Público</w:t>
            </w:r>
            <w:r w:rsidR="005D0BDC">
              <w:rPr>
                <w:rFonts w:ascii="Arial" w:eastAsia="Calibri" w:hAnsi="Arial" w:cs="Arial"/>
                <w:sz w:val="20"/>
                <w:szCs w:val="20"/>
                <w:lang w:eastAsia="es-PE"/>
              </w:rPr>
              <w:t xml:space="preserve"> </w:t>
            </w:r>
            <w:r w:rsidR="00102213" w:rsidRPr="005D0BDC">
              <w:rPr>
                <w:rFonts w:ascii="Arial" w:eastAsia="Calibri" w:hAnsi="Arial" w:cs="Arial"/>
                <w:sz w:val="20"/>
                <w:szCs w:val="20"/>
                <w:lang w:eastAsia="es-PE"/>
              </w:rPr>
              <w:t>(SIAF-SP).</w:t>
            </w:r>
            <w:r w:rsidR="005D0BDC">
              <w:rPr>
                <w:rFonts w:ascii="Arial" w:eastAsia="Calibri" w:hAnsi="Arial" w:cs="Arial"/>
                <w:sz w:val="20"/>
                <w:szCs w:val="20"/>
                <w:lang w:eastAsia="es-PE"/>
              </w:rPr>
              <w:t xml:space="preserve"> </w:t>
            </w:r>
          </w:p>
          <w:p w:rsidR="006501D7" w:rsidRPr="006501D7" w:rsidRDefault="006501D7" w:rsidP="00EA3E27">
            <w:pPr>
              <w:pStyle w:val="Prrafodelista"/>
              <w:spacing w:line="276" w:lineRule="auto"/>
              <w:rPr>
                <w:rFonts w:ascii="Arial" w:eastAsia="Calibri" w:hAnsi="Arial" w:cs="Arial"/>
                <w:sz w:val="20"/>
                <w:szCs w:val="20"/>
                <w:lang w:eastAsia="es-PE"/>
              </w:rPr>
            </w:pPr>
          </w:p>
          <w:p w:rsidR="005D0BDC" w:rsidRDefault="005D0BDC" w:rsidP="00EA3E27">
            <w:pPr>
              <w:pStyle w:val="Prrafodelista"/>
              <w:numPr>
                <w:ilvl w:val="0"/>
                <w:numId w:val="4"/>
              </w:numPr>
              <w:autoSpaceDE w:val="0"/>
              <w:autoSpaceDN w:val="0"/>
              <w:adjustRightInd w:val="0"/>
              <w:spacing w:line="276" w:lineRule="auto"/>
              <w:jc w:val="both"/>
              <w:rPr>
                <w:rFonts w:ascii="Arial" w:eastAsia="Calibri" w:hAnsi="Arial" w:cs="Arial"/>
                <w:sz w:val="20"/>
                <w:szCs w:val="20"/>
                <w:lang w:eastAsia="es-PE"/>
              </w:rPr>
            </w:pPr>
            <w:r w:rsidRPr="005D0BDC">
              <w:rPr>
                <w:rFonts w:ascii="Arial" w:eastAsia="Calibri" w:hAnsi="Arial" w:cs="Arial"/>
                <w:sz w:val="20"/>
                <w:szCs w:val="20"/>
                <w:lang w:eastAsia="es-PE"/>
              </w:rPr>
              <w:t>El proceso de registro comprende el ingreso de</w:t>
            </w:r>
            <w:r>
              <w:rPr>
                <w:rFonts w:ascii="Arial" w:eastAsia="Calibri" w:hAnsi="Arial" w:cs="Arial"/>
                <w:sz w:val="20"/>
                <w:szCs w:val="20"/>
                <w:lang w:eastAsia="es-PE"/>
              </w:rPr>
              <w:t xml:space="preserve"> </w:t>
            </w:r>
            <w:r w:rsidR="006501D7">
              <w:rPr>
                <w:rFonts w:ascii="Arial" w:eastAsia="Calibri" w:hAnsi="Arial" w:cs="Arial"/>
                <w:sz w:val="20"/>
                <w:szCs w:val="20"/>
                <w:lang w:eastAsia="es-PE"/>
              </w:rPr>
              <w:t>la información en el SIAF-SP</w:t>
            </w:r>
            <w:r w:rsidRPr="005D0BDC">
              <w:rPr>
                <w:rFonts w:ascii="Arial" w:eastAsia="Calibri" w:hAnsi="Arial" w:cs="Arial"/>
                <w:sz w:val="20"/>
                <w:szCs w:val="20"/>
                <w:lang w:eastAsia="es-PE"/>
              </w:rPr>
              <w:t xml:space="preserve"> por parte de todas</w:t>
            </w:r>
            <w:r>
              <w:rPr>
                <w:rFonts w:ascii="Arial" w:eastAsia="Calibri" w:hAnsi="Arial" w:cs="Arial"/>
                <w:sz w:val="20"/>
                <w:szCs w:val="20"/>
                <w:lang w:eastAsia="es-PE"/>
              </w:rPr>
              <w:t xml:space="preserve"> </w:t>
            </w:r>
            <w:r w:rsidRPr="005D0BDC">
              <w:rPr>
                <w:rFonts w:ascii="Arial" w:eastAsia="Calibri" w:hAnsi="Arial" w:cs="Arial"/>
                <w:sz w:val="20"/>
                <w:szCs w:val="20"/>
                <w:lang w:eastAsia="es-PE"/>
              </w:rPr>
              <w:t xml:space="preserve">las </w:t>
            </w:r>
            <w:r w:rsidR="00F64A3B">
              <w:rPr>
                <w:rFonts w:ascii="Arial" w:eastAsia="Calibri" w:hAnsi="Arial" w:cs="Arial"/>
                <w:sz w:val="20"/>
                <w:szCs w:val="20"/>
                <w:lang w:eastAsia="es-PE"/>
              </w:rPr>
              <w:t>entidades y organismos públicos</w:t>
            </w:r>
            <w:r w:rsidRPr="005D0BDC">
              <w:rPr>
                <w:rFonts w:ascii="Arial" w:eastAsia="Calibri" w:hAnsi="Arial" w:cs="Arial"/>
                <w:sz w:val="20"/>
                <w:szCs w:val="20"/>
                <w:lang w:eastAsia="es-PE"/>
              </w:rPr>
              <w:t>.</w:t>
            </w:r>
          </w:p>
          <w:p w:rsidR="005D0BDC" w:rsidRPr="005D0BDC" w:rsidRDefault="005D0BDC" w:rsidP="00EA3E27">
            <w:pPr>
              <w:pStyle w:val="Prrafodelista"/>
              <w:spacing w:line="276" w:lineRule="auto"/>
              <w:rPr>
                <w:rFonts w:ascii="Arial" w:eastAsia="Calibri" w:hAnsi="Arial" w:cs="Arial"/>
                <w:sz w:val="20"/>
                <w:szCs w:val="20"/>
                <w:lang w:eastAsia="es-PE"/>
              </w:rPr>
            </w:pPr>
          </w:p>
          <w:p w:rsidR="00167041" w:rsidRDefault="005D0BDC" w:rsidP="00EA3E27">
            <w:pPr>
              <w:pStyle w:val="Prrafodelista"/>
              <w:autoSpaceDE w:val="0"/>
              <w:autoSpaceDN w:val="0"/>
              <w:adjustRightInd w:val="0"/>
              <w:spacing w:line="276" w:lineRule="auto"/>
              <w:ind w:left="360"/>
              <w:jc w:val="both"/>
              <w:rPr>
                <w:rFonts w:ascii="Arial" w:eastAsia="Calibri" w:hAnsi="Arial" w:cs="Arial"/>
                <w:sz w:val="20"/>
                <w:szCs w:val="20"/>
                <w:lang w:eastAsia="es-PE"/>
              </w:rPr>
            </w:pPr>
            <w:r w:rsidRPr="005D0BDC">
              <w:rPr>
                <w:rFonts w:ascii="Arial" w:eastAsia="Calibri" w:hAnsi="Arial" w:cs="Arial"/>
                <w:sz w:val="20"/>
                <w:szCs w:val="20"/>
                <w:lang w:eastAsia="es-PE"/>
              </w:rPr>
              <w:t>Para los fines relacionados con el Sistema Nacional de Endeudamiento, se debe ingresar en el SIAF-SP, la información referida a las concertaciones, el desembolso, el servicio de deuda atendido de las operaciones de endeudamiento y la administración de deuda.</w:t>
            </w:r>
          </w:p>
          <w:p w:rsidR="00167041" w:rsidRDefault="00167041" w:rsidP="00EA3E27">
            <w:pPr>
              <w:pStyle w:val="Prrafodelista"/>
              <w:autoSpaceDE w:val="0"/>
              <w:autoSpaceDN w:val="0"/>
              <w:adjustRightInd w:val="0"/>
              <w:spacing w:line="276" w:lineRule="auto"/>
              <w:ind w:left="360"/>
              <w:jc w:val="both"/>
              <w:rPr>
                <w:rFonts w:ascii="Arial" w:eastAsia="Calibri" w:hAnsi="Arial" w:cs="Arial"/>
                <w:sz w:val="20"/>
                <w:szCs w:val="20"/>
                <w:lang w:eastAsia="es-PE"/>
              </w:rPr>
            </w:pPr>
          </w:p>
          <w:p w:rsidR="001F5EF1" w:rsidRDefault="005D0BDC" w:rsidP="00EA3E27">
            <w:pPr>
              <w:pStyle w:val="Prrafodelista"/>
              <w:numPr>
                <w:ilvl w:val="0"/>
                <w:numId w:val="4"/>
              </w:numPr>
              <w:autoSpaceDE w:val="0"/>
              <w:autoSpaceDN w:val="0"/>
              <w:adjustRightInd w:val="0"/>
              <w:spacing w:line="276" w:lineRule="auto"/>
              <w:jc w:val="both"/>
              <w:rPr>
                <w:rFonts w:ascii="Arial" w:eastAsia="Calibri" w:hAnsi="Arial" w:cs="Arial"/>
                <w:sz w:val="20"/>
                <w:szCs w:val="20"/>
                <w:lang w:eastAsia="es-PE"/>
              </w:rPr>
            </w:pPr>
            <w:r w:rsidRPr="005D0BDC">
              <w:rPr>
                <w:rFonts w:ascii="Arial" w:eastAsia="Calibri" w:hAnsi="Arial" w:cs="Arial"/>
                <w:sz w:val="20"/>
                <w:szCs w:val="20"/>
                <w:lang w:eastAsia="es-PE"/>
              </w:rPr>
              <w:t>La Dirección General de Endeudamiento y Tesoro</w:t>
            </w:r>
            <w:r>
              <w:rPr>
                <w:rFonts w:ascii="Arial" w:eastAsia="Calibri" w:hAnsi="Arial" w:cs="Arial"/>
                <w:sz w:val="20"/>
                <w:szCs w:val="20"/>
                <w:lang w:eastAsia="es-PE"/>
              </w:rPr>
              <w:t xml:space="preserve"> </w:t>
            </w:r>
            <w:r w:rsidRPr="005D0BDC">
              <w:rPr>
                <w:rFonts w:ascii="Arial" w:eastAsia="Calibri" w:hAnsi="Arial" w:cs="Arial"/>
                <w:sz w:val="20"/>
                <w:szCs w:val="20"/>
                <w:lang w:eastAsia="es-PE"/>
              </w:rPr>
              <w:t>Público, emitirá las directivas necesarias para el registro</w:t>
            </w:r>
            <w:r>
              <w:rPr>
                <w:rFonts w:ascii="Arial" w:eastAsia="Calibri" w:hAnsi="Arial" w:cs="Arial"/>
                <w:sz w:val="20"/>
                <w:szCs w:val="20"/>
                <w:lang w:eastAsia="es-PE"/>
              </w:rPr>
              <w:t xml:space="preserve"> </w:t>
            </w:r>
            <w:r w:rsidRPr="005D0BDC">
              <w:rPr>
                <w:rFonts w:ascii="Arial" w:eastAsia="Calibri" w:hAnsi="Arial" w:cs="Arial"/>
                <w:sz w:val="20"/>
                <w:szCs w:val="20"/>
                <w:lang w:eastAsia="es-PE"/>
              </w:rPr>
              <w:t xml:space="preserve">de la información </w:t>
            </w:r>
            <w:r>
              <w:rPr>
                <w:rFonts w:ascii="Arial" w:eastAsia="Calibri" w:hAnsi="Arial" w:cs="Arial"/>
                <w:sz w:val="20"/>
                <w:szCs w:val="20"/>
                <w:lang w:eastAsia="es-PE"/>
              </w:rPr>
              <w:t>mencionada</w:t>
            </w:r>
            <w:r w:rsidRPr="005D0BDC">
              <w:rPr>
                <w:rFonts w:ascii="Arial" w:eastAsia="Calibri" w:hAnsi="Arial" w:cs="Arial"/>
                <w:sz w:val="20"/>
                <w:szCs w:val="20"/>
                <w:lang w:eastAsia="es-PE"/>
              </w:rPr>
              <w:t>.</w:t>
            </w:r>
          </w:p>
          <w:p w:rsidR="001F5EF1" w:rsidRDefault="001F5EF1" w:rsidP="00EA3E27">
            <w:pPr>
              <w:pStyle w:val="Prrafodelista"/>
              <w:autoSpaceDE w:val="0"/>
              <w:autoSpaceDN w:val="0"/>
              <w:adjustRightInd w:val="0"/>
              <w:spacing w:line="276" w:lineRule="auto"/>
              <w:ind w:left="360"/>
              <w:jc w:val="both"/>
              <w:rPr>
                <w:rFonts w:ascii="Arial" w:eastAsia="Calibri" w:hAnsi="Arial" w:cs="Arial"/>
                <w:sz w:val="20"/>
                <w:szCs w:val="20"/>
                <w:lang w:eastAsia="es-PE"/>
              </w:rPr>
            </w:pPr>
          </w:p>
          <w:p w:rsidR="00C50343" w:rsidRDefault="001F5EF1" w:rsidP="00EA3E27">
            <w:pPr>
              <w:pStyle w:val="Prrafodelista"/>
              <w:numPr>
                <w:ilvl w:val="0"/>
                <w:numId w:val="4"/>
              </w:numPr>
              <w:autoSpaceDE w:val="0"/>
              <w:autoSpaceDN w:val="0"/>
              <w:adjustRightInd w:val="0"/>
              <w:spacing w:line="276" w:lineRule="auto"/>
              <w:jc w:val="both"/>
              <w:rPr>
                <w:rFonts w:ascii="Arial" w:eastAsia="Calibri" w:hAnsi="Arial" w:cs="Arial"/>
                <w:sz w:val="20"/>
                <w:szCs w:val="20"/>
                <w:lang w:eastAsia="es-PE"/>
              </w:rPr>
            </w:pPr>
            <w:r w:rsidRPr="001F5EF1">
              <w:rPr>
                <w:rFonts w:ascii="Arial" w:eastAsia="Calibri" w:hAnsi="Arial" w:cs="Arial"/>
                <w:sz w:val="20"/>
                <w:szCs w:val="20"/>
                <w:lang w:eastAsia="es-PE"/>
              </w:rPr>
              <w:t>Las entidades públicas</w:t>
            </w:r>
            <w:r>
              <w:rPr>
                <w:rFonts w:ascii="Arial" w:eastAsia="Calibri" w:hAnsi="Arial" w:cs="Arial"/>
                <w:sz w:val="20"/>
                <w:szCs w:val="20"/>
                <w:lang w:eastAsia="es-PE"/>
              </w:rPr>
              <w:t xml:space="preserve"> </w:t>
            </w:r>
            <w:r w:rsidRPr="001F5EF1">
              <w:rPr>
                <w:rFonts w:ascii="Arial" w:eastAsia="Calibri" w:hAnsi="Arial" w:cs="Arial"/>
                <w:sz w:val="20"/>
                <w:szCs w:val="20"/>
                <w:lang w:eastAsia="es-PE"/>
              </w:rPr>
              <w:t xml:space="preserve">comprendidas en el </w:t>
            </w:r>
            <w:r>
              <w:rPr>
                <w:rFonts w:ascii="Arial" w:eastAsia="Calibri" w:hAnsi="Arial" w:cs="Arial"/>
                <w:sz w:val="20"/>
                <w:szCs w:val="20"/>
                <w:lang w:eastAsia="es-PE"/>
              </w:rPr>
              <w:t>ámbito</w:t>
            </w:r>
            <w:r w:rsidR="00D927A8">
              <w:rPr>
                <w:rFonts w:ascii="Arial" w:eastAsia="Calibri" w:hAnsi="Arial" w:cs="Arial"/>
                <w:sz w:val="20"/>
                <w:szCs w:val="20"/>
                <w:lang w:eastAsia="es-PE"/>
              </w:rPr>
              <w:t xml:space="preserve"> de esta Ley,</w:t>
            </w:r>
            <w:r w:rsidRPr="001F5EF1">
              <w:rPr>
                <w:rFonts w:ascii="Arial" w:eastAsia="Calibri" w:hAnsi="Arial" w:cs="Arial"/>
                <w:sz w:val="20"/>
                <w:szCs w:val="20"/>
                <w:lang w:eastAsia="es-PE"/>
              </w:rPr>
              <w:t xml:space="preserve"> quedan</w:t>
            </w:r>
            <w:r>
              <w:rPr>
                <w:rFonts w:ascii="Arial" w:eastAsia="Calibri" w:hAnsi="Arial" w:cs="Arial"/>
                <w:sz w:val="20"/>
                <w:szCs w:val="20"/>
                <w:lang w:eastAsia="es-PE"/>
              </w:rPr>
              <w:t xml:space="preserve"> </w:t>
            </w:r>
            <w:r w:rsidRPr="001F5EF1">
              <w:rPr>
                <w:rFonts w:ascii="Arial" w:eastAsia="Calibri" w:hAnsi="Arial" w:cs="Arial"/>
                <w:sz w:val="20"/>
                <w:szCs w:val="20"/>
                <w:lang w:eastAsia="es-PE"/>
              </w:rPr>
              <w:t>prohibidas de concertar operaciones de endeudamiento</w:t>
            </w:r>
            <w:r>
              <w:rPr>
                <w:rFonts w:ascii="Arial" w:eastAsia="Calibri" w:hAnsi="Arial" w:cs="Arial"/>
                <w:sz w:val="20"/>
                <w:szCs w:val="20"/>
                <w:lang w:eastAsia="es-PE"/>
              </w:rPr>
              <w:t xml:space="preserve"> para fi</w:t>
            </w:r>
            <w:r w:rsidRPr="001F5EF1">
              <w:rPr>
                <w:rFonts w:ascii="Arial" w:eastAsia="Calibri" w:hAnsi="Arial" w:cs="Arial"/>
                <w:sz w:val="20"/>
                <w:szCs w:val="20"/>
                <w:lang w:eastAsia="es-PE"/>
              </w:rPr>
              <w:t>nanciar proyectos de inversión pública cuando</w:t>
            </w:r>
            <w:r>
              <w:rPr>
                <w:rFonts w:ascii="Arial" w:eastAsia="Calibri" w:hAnsi="Arial" w:cs="Arial"/>
                <w:sz w:val="20"/>
                <w:szCs w:val="20"/>
                <w:lang w:eastAsia="es-PE"/>
              </w:rPr>
              <w:t xml:space="preserve"> </w:t>
            </w:r>
            <w:r w:rsidRPr="001F5EF1">
              <w:rPr>
                <w:rFonts w:ascii="Arial" w:eastAsia="Calibri" w:hAnsi="Arial" w:cs="Arial"/>
                <w:sz w:val="20"/>
                <w:szCs w:val="20"/>
                <w:lang w:eastAsia="es-PE"/>
              </w:rPr>
              <w:t>su objetivo sea fundamentalmente el fortalecimiento institucional.</w:t>
            </w:r>
          </w:p>
          <w:p w:rsidR="00C50343" w:rsidRDefault="00C50343" w:rsidP="00EA3E27">
            <w:pPr>
              <w:pStyle w:val="Prrafodelista"/>
              <w:autoSpaceDE w:val="0"/>
              <w:autoSpaceDN w:val="0"/>
              <w:adjustRightInd w:val="0"/>
              <w:spacing w:line="276" w:lineRule="auto"/>
              <w:ind w:left="360"/>
              <w:jc w:val="both"/>
              <w:rPr>
                <w:rFonts w:ascii="Arial" w:eastAsia="Calibri" w:hAnsi="Arial" w:cs="Arial"/>
                <w:sz w:val="20"/>
                <w:szCs w:val="20"/>
                <w:lang w:eastAsia="es-PE"/>
              </w:rPr>
            </w:pPr>
          </w:p>
          <w:p w:rsidR="00C50343" w:rsidRDefault="00C50343" w:rsidP="00EA3E27">
            <w:pPr>
              <w:pStyle w:val="Prrafodelista"/>
              <w:numPr>
                <w:ilvl w:val="0"/>
                <w:numId w:val="4"/>
              </w:numPr>
              <w:autoSpaceDE w:val="0"/>
              <w:autoSpaceDN w:val="0"/>
              <w:adjustRightInd w:val="0"/>
              <w:spacing w:line="276" w:lineRule="auto"/>
              <w:jc w:val="both"/>
              <w:rPr>
                <w:rFonts w:ascii="Arial" w:eastAsia="Calibri" w:hAnsi="Arial" w:cs="Arial"/>
                <w:sz w:val="20"/>
                <w:szCs w:val="20"/>
                <w:lang w:eastAsia="es-PE"/>
              </w:rPr>
            </w:pPr>
            <w:r w:rsidRPr="00C50343">
              <w:rPr>
                <w:rFonts w:ascii="Arial" w:eastAsia="Calibri" w:hAnsi="Arial" w:cs="Arial"/>
                <w:sz w:val="20"/>
                <w:szCs w:val="20"/>
                <w:lang w:eastAsia="es-PE"/>
              </w:rPr>
              <w:t>Los pagos a favor del Gobierno</w:t>
            </w:r>
            <w:r>
              <w:rPr>
                <w:rFonts w:ascii="Arial" w:eastAsia="Calibri" w:hAnsi="Arial" w:cs="Arial"/>
                <w:sz w:val="20"/>
                <w:szCs w:val="20"/>
                <w:lang w:eastAsia="es-PE"/>
              </w:rPr>
              <w:t xml:space="preserve"> </w:t>
            </w:r>
            <w:r w:rsidRPr="00C50343">
              <w:rPr>
                <w:rFonts w:ascii="Arial" w:eastAsia="Calibri" w:hAnsi="Arial" w:cs="Arial"/>
                <w:sz w:val="20"/>
                <w:szCs w:val="20"/>
                <w:lang w:eastAsia="es-PE"/>
              </w:rPr>
              <w:t>Nacional, correspondientes a compromisos de deuda</w:t>
            </w:r>
            <w:r>
              <w:rPr>
                <w:rFonts w:ascii="Arial" w:eastAsia="Calibri" w:hAnsi="Arial" w:cs="Arial"/>
                <w:sz w:val="20"/>
                <w:szCs w:val="20"/>
                <w:lang w:eastAsia="es-PE"/>
              </w:rPr>
              <w:t xml:space="preserve"> </w:t>
            </w:r>
            <w:r w:rsidRPr="00C50343">
              <w:rPr>
                <w:rFonts w:ascii="Arial" w:eastAsia="Calibri" w:hAnsi="Arial" w:cs="Arial"/>
                <w:sz w:val="20"/>
                <w:szCs w:val="20"/>
                <w:lang w:eastAsia="es-PE"/>
              </w:rPr>
              <w:t>generados en el marco de las operaciones realizadas</w:t>
            </w:r>
            <w:r>
              <w:rPr>
                <w:rFonts w:ascii="Arial" w:eastAsia="Calibri" w:hAnsi="Arial" w:cs="Arial"/>
                <w:sz w:val="20"/>
                <w:szCs w:val="20"/>
                <w:lang w:eastAsia="es-PE"/>
              </w:rPr>
              <w:t xml:space="preserve"> </w:t>
            </w:r>
            <w:r w:rsidRPr="00C50343">
              <w:rPr>
                <w:rFonts w:ascii="Arial" w:eastAsia="Calibri" w:hAnsi="Arial" w:cs="Arial"/>
                <w:sz w:val="20"/>
                <w:szCs w:val="20"/>
                <w:lang w:eastAsia="es-PE"/>
              </w:rPr>
              <w:t>bajo el ámbito del Sistema Nacional de Endeudamiento,</w:t>
            </w:r>
            <w:r>
              <w:rPr>
                <w:rFonts w:ascii="Arial" w:eastAsia="Calibri" w:hAnsi="Arial" w:cs="Arial"/>
                <w:sz w:val="20"/>
                <w:szCs w:val="20"/>
                <w:lang w:eastAsia="es-PE"/>
              </w:rPr>
              <w:t xml:space="preserve"> </w:t>
            </w:r>
            <w:r w:rsidRPr="00C50343">
              <w:rPr>
                <w:rFonts w:ascii="Arial" w:eastAsia="Calibri" w:hAnsi="Arial" w:cs="Arial"/>
                <w:sz w:val="20"/>
                <w:szCs w:val="20"/>
                <w:lang w:eastAsia="es-PE"/>
              </w:rPr>
              <w:t>s</w:t>
            </w:r>
            <w:r>
              <w:rPr>
                <w:rFonts w:ascii="Arial" w:eastAsia="Calibri" w:hAnsi="Arial" w:cs="Arial"/>
                <w:sz w:val="20"/>
                <w:szCs w:val="20"/>
                <w:lang w:eastAsia="es-PE"/>
              </w:rPr>
              <w:t>on efectuados a través de un fi</w:t>
            </w:r>
            <w:r w:rsidRPr="00C50343">
              <w:rPr>
                <w:rFonts w:ascii="Arial" w:eastAsia="Calibri" w:hAnsi="Arial" w:cs="Arial"/>
                <w:sz w:val="20"/>
                <w:szCs w:val="20"/>
                <w:lang w:eastAsia="es-PE"/>
              </w:rPr>
              <w:t xml:space="preserve">deicomiso. </w:t>
            </w:r>
          </w:p>
          <w:p w:rsidR="00C50343" w:rsidRPr="00C50343" w:rsidRDefault="00C50343" w:rsidP="00EA3E27">
            <w:pPr>
              <w:pStyle w:val="Prrafodelista"/>
              <w:spacing w:line="276" w:lineRule="auto"/>
              <w:rPr>
                <w:rFonts w:ascii="Arial" w:eastAsia="Calibri" w:hAnsi="Arial" w:cs="Arial"/>
                <w:sz w:val="20"/>
                <w:szCs w:val="20"/>
                <w:lang w:eastAsia="es-PE"/>
              </w:rPr>
            </w:pPr>
          </w:p>
          <w:p w:rsidR="00C50343" w:rsidRDefault="00C50343" w:rsidP="00EA3E27">
            <w:pPr>
              <w:pStyle w:val="Prrafodelista"/>
              <w:autoSpaceDE w:val="0"/>
              <w:autoSpaceDN w:val="0"/>
              <w:adjustRightInd w:val="0"/>
              <w:spacing w:line="276" w:lineRule="auto"/>
              <w:ind w:left="360"/>
              <w:jc w:val="both"/>
              <w:rPr>
                <w:rFonts w:ascii="Arial" w:eastAsia="Calibri" w:hAnsi="Arial" w:cs="Arial"/>
                <w:sz w:val="20"/>
                <w:szCs w:val="20"/>
                <w:lang w:eastAsia="es-PE"/>
              </w:rPr>
            </w:pPr>
            <w:r w:rsidRPr="00C50343">
              <w:rPr>
                <w:rFonts w:ascii="Arial" w:eastAsia="Calibri" w:hAnsi="Arial" w:cs="Arial"/>
                <w:sz w:val="20"/>
                <w:szCs w:val="20"/>
                <w:lang w:eastAsia="es-PE"/>
              </w:rPr>
              <w:t>Cuando el</w:t>
            </w:r>
            <w:r>
              <w:rPr>
                <w:rFonts w:ascii="Arial" w:eastAsia="Calibri" w:hAnsi="Arial" w:cs="Arial"/>
                <w:sz w:val="20"/>
                <w:szCs w:val="20"/>
                <w:lang w:eastAsia="es-PE"/>
              </w:rPr>
              <w:t xml:space="preserve"> </w:t>
            </w:r>
            <w:r w:rsidRPr="00C50343">
              <w:rPr>
                <w:rFonts w:ascii="Arial" w:eastAsia="Calibri" w:hAnsi="Arial" w:cs="Arial"/>
                <w:sz w:val="20"/>
                <w:szCs w:val="20"/>
                <w:lang w:eastAsia="es-PE"/>
              </w:rPr>
              <w:t>otorgamiento de los recursos previstos para efectuar</w:t>
            </w:r>
            <w:r>
              <w:rPr>
                <w:rFonts w:ascii="Arial" w:eastAsia="Calibri" w:hAnsi="Arial" w:cs="Arial"/>
                <w:sz w:val="20"/>
                <w:szCs w:val="20"/>
                <w:lang w:eastAsia="es-PE"/>
              </w:rPr>
              <w:t xml:space="preserve"> </w:t>
            </w:r>
            <w:r w:rsidRPr="00C50343">
              <w:rPr>
                <w:rFonts w:ascii="Arial" w:eastAsia="Calibri" w:hAnsi="Arial" w:cs="Arial"/>
                <w:sz w:val="20"/>
                <w:szCs w:val="20"/>
                <w:lang w:eastAsia="es-PE"/>
              </w:rPr>
              <w:t>dichos pagos se realicen mediante Asignaciones</w:t>
            </w:r>
            <w:r>
              <w:rPr>
                <w:rFonts w:ascii="Arial" w:eastAsia="Calibri" w:hAnsi="Arial" w:cs="Arial"/>
                <w:sz w:val="20"/>
                <w:szCs w:val="20"/>
                <w:lang w:eastAsia="es-PE"/>
              </w:rPr>
              <w:t xml:space="preserve"> </w:t>
            </w:r>
            <w:r w:rsidRPr="00C50343">
              <w:rPr>
                <w:rFonts w:ascii="Arial" w:eastAsia="Calibri" w:hAnsi="Arial" w:cs="Arial"/>
                <w:sz w:val="20"/>
                <w:szCs w:val="20"/>
                <w:lang w:eastAsia="es-PE"/>
              </w:rPr>
              <w:t>Financieras, la Dirección General de Endeudamiento</w:t>
            </w:r>
            <w:r>
              <w:rPr>
                <w:rFonts w:ascii="Arial" w:eastAsia="Calibri" w:hAnsi="Arial" w:cs="Arial"/>
                <w:sz w:val="20"/>
                <w:szCs w:val="20"/>
                <w:lang w:eastAsia="es-PE"/>
              </w:rPr>
              <w:t xml:space="preserve"> </w:t>
            </w:r>
            <w:r w:rsidRPr="00C50343">
              <w:rPr>
                <w:rFonts w:ascii="Arial" w:eastAsia="Calibri" w:hAnsi="Arial" w:cs="Arial"/>
                <w:sz w:val="20"/>
                <w:szCs w:val="20"/>
                <w:lang w:eastAsia="es-PE"/>
              </w:rPr>
              <w:t>y Tesoro Público está facultada a deducir los montos</w:t>
            </w:r>
            <w:r>
              <w:rPr>
                <w:rFonts w:ascii="Arial" w:eastAsia="Calibri" w:hAnsi="Arial" w:cs="Arial"/>
                <w:sz w:val="20"/>
                <w:szCs w:val="20"/>
                <w:lang w:eastAsia="es-PE"/>
              </w:rPr>
              <w:t xml:space="preserve"> </w:t>
            </w:r>
            <w:r w:rsidRPr="00C50343">
              <w:rPr>
                <w:rFonts w:ascii="Arial" w:eastAsia="Calibri" w:hAnsi="Arial" w:cs="Arial"/>
                <w:sz w:val="20"/>
                <w:szCs w:val="20"/>
                <w:lang w:eastAsia="es-PE"/>
              </w:rPr>
              <w:t>necesarios para atender las referidas obligaciones y</w:t>
            </w:r>
            <w:r>
              <w:rPr>
                <w:rFonts w:ascii="Arial" w:eastAsia="Calibri" w:hAnsi="Arial" w:cs="Arial"/>
                <w:sz w:val="20"/>
                <w:szCs w:val="20"/>
                <w:lang w:eastAsia="es-PE"/>
              </w:rPr>
              <w:t xml:space="preserve"> </w:t>
            </w:r>
            <w:r w:rsidRPr="00C50343">
              <w:rPr>
                <w:rFonts w:ascii="Arial" w:eastAsia="Calibri" w:hAnsi="Arial" w:cs="Arial"/>
                <w:sz w:val="20"/>
                <w:szCs w:val="20"/>
                <w:lang w:eastAsia="es-PE"/>
              </w:rPr>
              <w:t>transferirlo directamente a las cuentas previstas para el</w:t>
            </w:r>
            <w:r>
              <w:rPr>
                <w:rFonts w:ascii="Arial" w:eastAsia="Calibri" w:hAnsi="Arial" w:cs="Arial"/>
                <w:sz w:val="20"/>
                <w:szCs w:val="20"/>
                <w:lang w:eastAsia="es-PE"/>
              </w:rPr>
              <w:t xml:space="preserve"> </w:t>
            </w:r>
            <w:r w:rsidRPr="00C50343">
              <w:rPr>
                <w:rFonts w:ascii="Arial" w:eastAsia="Calibri" w:hAnsi="Arial" w:cs="Arial"/>
                <w:sz w:val="20"/>
                <w:szCs w:val="20"/>
                <w:lang w:eastAsia="es-PE"/>
              </w:rPr>
              <w:t>pago del servicio de deuda.</w:t>
            </w:r>
          </w:p>
          <w:p w:rsidR="00C50343" w:rsidRDefault="00C50343" w:rsidP="00EA3E27">
            <w:pPr>
              <w:pStyle w:val="Prrafodelista"/>
              <w:autoSpaceDE w:val="0"/>
              <w:autoSpaceDN w:val="0"/>
              <w:adjustRightInd w:val="0"/>
              <w:spacing w:line="276" w:lineRule="auto"/>
              <w:ind w:left="360"/>
              <w:jc w:val="both"/>
              <w:rPr>
                <w:rFonts w:ascii="Arial" w:eastAsia="Calibri" w:hAnsi="Arial" w:cs="Arial"/>
                <w:sz w:val="20"/>
                <w:szCs w:val="20"/>
                <w:lang w:eastAsia="es-PE"/>
              </w:rPr>
            </w:pPr>
          </w:p>
          <w:p w:rsidR="008229B9" w:rsidRDefault="00C50343" w:rsidP="00EA3E27">
            <w:pPr>
              <w:pStyle w:val="Prrafodelista"/>
              <w:autoSpaceDE w:val="0"/>
              <w:autoSpaceDN w:val="0"/>
              <w:adjustRightInd w:val="0"/>
              <w:spacing w:line="276" w:lineRule="auto"/>
              <w:ind w:left="360"/>
              <w:jc w:val="both"/>
              <w:rPr>
                <w:rFonts w:ascii="Arial" w:eastAsia="Calibri" w:hAnsi="Arial" w:cs="Arial"/>
                <w:sz w:val="20"/>
                <w:szCs w:val="20"/>
                <w:lang w:eastAsia="es-PE"/>
              </w:rPr>
            </w:pPr>
            <w:r w:rsidRPr="00C50343">
              <w:rPr>
                <w:rFonts w:ascii="Arial" w:eastAsia="Calibri" w:hAnsi="Arial" w:cs="Arial"/>
                <w:sz w:val="20"/>
                <w:szCs w:val="20"/>
                <w:lang w:eastAsia="es-PE"/>
              </w:rPr>
              <w:t>Es responsabilidad de las entidades públicas que</w:t>
            </w:r>
            <w:r>
              <w:rPr>
                <w:rFonts w:ascii="Arial" w:eastAsia="Calibri" w:hAnsi="Arial" w:cs="Arial"/>
                <w:sz w:val="20"/>
                <w:szCs w:val="20"/>
                <w:lang w:eastAsia="es-PE"/>
              </w:rPr>
              <w:t xml:space="preserve"> </w:t>
            </w:r>
            <w:r w:rsidRPr="00C50343">
              <w:rPr>
                <w:rFonts w:ascii="Arial" w:eastAsia="Calibri" w:hAnsi="Arial" w:cs="Arial"/>
                <w:sz w:val="20"/>
                <w:szCs w:val="20"/>
                <w:lang w:eastAsia="es-PE"/>
              </w:rPr>
              <w:t>tienen a cargo dichas obligaciones, la emisión anticipada</w:t>
            </w:r>
            <w:r>
              <w:rPr>
                <w:rFonts w:ascii="Arial" w:eastAsia="Calibri" w:hAnsi="Arial" w:cs="Arial"/>
                <w:sz w:val="20"/>
                <w:szCs w:val="20"/>
                <w:lang w:eastAsia="es-PE"/>
              </w:rPr>
              <w:t xml:space="preserve"> de la Certifi</w:t>
            </w:r>
            <w:r w:rsidRPr="00C50343">
              <w:rPr>
                <w:rFonts w:ascii="Arial" w:eastAsia="Calibri" w:hAnsi="Arial" w:cs="Arial"/>
                <w:sz w:val="20"/>
                <w:szCs w:val="20"/>
                <w:lang w:eastAsia="es-PE"/>
              </w:rPr>
              <w:t>cación del Crédito Presupuestario respectivo,</w:t>
            </w:r>
            <w:r>
              <w:rPr>
                <w:rFonts w:ascii="Arial" w:eastAsia="Calibri" w:hAnsi="Arial" w:cs="Arial"/>
                <w:sz w:val="20"/>
                <w:szCs w:val="20"/>
                <w:lang w:eastAsia="es-PE"/>
              </w:rPr>
              <w:t xml:space="preserve"> </w:t>
            </w:r>
            <w:r w:rsidRPr="00C50343">
              <w:rPr>
                <w:rFonts w:ascii="Arial" w:eastAsia="Calibri" w:hAnsi="Arial" w:cs="Arial"/>
                <w:sz w:val="20"/>
                <w:szCs w:val="20"/>
                <w:lang w:eastAsia="es-PE"/>
              </w:rPr>
              <w:t>en el marco de las normas legales vigentes, por el</w:t>
            </w:r>
            <w:r>
              <w:rPr>
                <w:rFonts w:ascii="Arial" w:eastAsia="Calibri" w:hAnsi="Arial" w:cs="Arial"/>
                <w:sz w:val="20"/>
                <w:szCs w:val="20"/>
                <w:lang w:eastAsia="es-PE"/>
              </w:rPr>
              <w:t xml:space="preserve"> </w:t>
            </w:r>
            <w:r w:rsidRPr="00C50343">
              <w:rPr>
                <w:rFonts w:ascii="Arial" w:eastAsia="Calibri" w:hAnsi="Arial" w:cs="Arial"/>
                <w:sz w:val="20"/>
                <w:szCs w:val="20"/>
                <w:lang w:eastAsia="es-PE"/>
              </w:rPr>
              <w:t>monto de las obligaciones y en atención al cronograma</w:t>
            </w:r>
            <w:r>
              <w:rPr>
                <w:rFonts w:ascii="Arial" w:eastAsia="Calibri" w:hAnsi="Arial" w:cs="Arial"/>
                <w:sz w:val="20"/>
                <w:szCs w:val="20"/>
                <w:lang w:eastAsia="es-PE"/>
              </w:rPr>
              <w:t xml:space="preserve"> </w:t>
            </w:r>
            <w:r w:rsidR="00D927A8">
              <w:rPr>
                <w:rFonts w:ascii="Arial" w:eastAsia="Calibri" w:hAnsi="Arial" w:cs="Arial"/>
                <w:sz w:val="20"/>
                <w:szCs w:val="20"/>
                <w:lang w:eastAsia="es-PE"/>
              </w:rPr>
              <w:t>establecido</w:t>
            </w:r>
            <w:r w:rsidRPr="00C50343">
              <w:rPr>
                <w:rFonts w:ascii="Arial" w:eastAsia="Calibri" w:hAnsi="Arial" w:cs="Arial"/>
                <w:sz w:val="20"/>
                <w:szCs w:val="20"/>
                <w:lang w:eastAsia="es-PE"/>
              </w:rPr>
              <w:t>.</w:t>
            </w:r>
            <w:r>
              <w:rPr>
                <w:rFonts w:ascii="Arial" w:eastAsia="Calibri" w:hAnsi="Arial" w:cs="Arial"/>
                <w:sz w:val="20"/>
                <w:szCs w:val="20"/>
                <w:lang w:eastAsia="es-PE"/>
              </w:rPr>
              <w:t xml:space="preserve"> </w:t>
            </w:r>
          </w:p>
          <w:p w:rsidR="008229B9" w:rsidRDefault="008229B9" w:rsidP="00EA3E27">
            <w:pPr>
              <w:pStyle w:val="Prrafodelista"/>
              <w:autoSpaceDE w:val="0"/>
              <w:autoSpaceDN w:val="0"/>
              <w:adjustRightInd w:val="0"/>
              <w:spacing w:line="276" w:lineRule="auto"/>
              <w:ind w:left="360"/>
              <w:jc w:val="both"/>
              <w:rPr>
                <w:rFonts w:ascii="Arial" w:eastAsia="Calibri" w:hAnsi="Arial" w:cs="Arial"/>
                <w:sz w:val="20"/>
                <w:szCs w:val="20"/>
                <w:lang w:eastAsia="es-PE"/>
              </w:rPr>
            </w:pPr>
          </w:p>
          <w:p w:rsidR="004653F0" w:rsidRPr="004653F0" w:rsidRDefault="008229B9" w:rsidP="00EA3E27">
            <w:pPr>
              <w:pStyle w:val="Prrafodelista"/>
              <w:numPr>
                <w:ilvl w:val="0"/>
                <w:numId w:val="4"/>
              </w:numPr>
              <w:autoSpaceDE w:val="0"/>
              <w:autoSpaceDN w:val="0"/>
              <w:adjustRightInd w:val="0"/>
              <w:spacing w:line="276" w:lineRule="auto"/>
              <w:jc w:val="both"/>
              <w:rPr>
                <w:rFonts w:ascii="Arial" w:eastAsia="Calibri" w:hAnsi="Arial" w:cs="Arial"/>
                <w:sz w:val="20"/>
                <w:szCs w:val="20"/>
                <w:lang w:eastAsia="es-PE"/>
              </w:rPr>
            </w:pPr>
            <w:r w:rsidRPr="008229B9">
              <w:rPr>
                <w:rFonts w:ascii="Arial" w:eastAsia="Calibri" w:hAnsi="Arial" w:cs="Arial"/>
                <w:sz w:val="20"/>
                <w:szCs w:val="20"/>
                <w:lang w:eastAsia="es-PE"/>
              </w:rPr>
              <w:t>La presente Ley entrará en vigencia a partir</w:t>
            </w:r>
            <w:r>
              <w:rPr>
                <w:rFonts w:ascii="Arial" w:eastAsia="Calibri" w:hAnsi="Arial" w:cs="Arial"/>
                <w:sz w:val="20"/>
                <w:szCs w:val="20"/>
                <w:lang w:eastAsia="es-PE"/>
              </w:rPr>
              <w:t xml:space="preserve"> </w:t>
            </w:r>
            <w:r w:rsidRPr="008229B9">
              <w:rPr>
                <w:rFonts w:ascii="Arial" w:eastAsia="Calibri" w:hAnsi="Arial" w:cs="Arial"/>
                <w:sz w:val="20"/>
                <w:szCs w:val="20"/>
                <w:lang w:eastAsia="es-PE"/>
              </w:rPr>
              <w:t>del</w:t>
            </w:r>
            <w:r>
              <w:rPr>
                <w:rFonts w:ascii="Arial" w:eastAsia="Calibri" w:hAnsi="Arial" w:cs="Arial"/>
                <w:sz w:val="20"/>
                <w:szCs w:val="20"/>
                <w:lang w:eastAsia="es-PE"/>
              </w:rPr>
              <w:t xml:space="preserve"> </w:t>
            </w:r>
            <w:r w:rsidRPr="008229B9">
              <w:rPr>
                <w:rFonts w:ascii="Arial" w:eastAsia="Calibri" w:hAnsi="Arial" w:cs="Arial"/>
                <w:b/>
                <w:sz w:val="20"/>
                <w:szCs w:val="20"/>
                <w:lang w:eastAsia="es-PE"/>
              </w:rPr>
              <w:t>17 de enero de 2014</w:t>
            </w:r>
            <w:r>
              <w:rPr>
                <w:rFonts w:ascii="Arial" w:eastAsia="Calibri" w:hAnsi="Arial" w:cs="Arial"/>
                <w:b/>
                <w:sz w:val="20"/>
                <w:szCs w:val="20"/>
                <w:lang w:eastAsia="es-PE"/>
              </w:rPr>
              <w:t>.</w:t>
            </w:r>
          </w:p>
        </w:tc>
      </w:tr>
      <w:tr w:rsidR="00C92544" w:rsidTr="00C92544">
        <w:trPr>
          <w:trHeight w:val="3109"/>
        </w:trPr>
        <w:tc>
          <w:tcPr>
            <w:tcW w:w="2518" w:type="dxa"/>
            <w:vAlign w:val="center"/>
          </w:tcPr>
          <w:p w:rsidR="00C92544" w:rsidRPr="00485429" w:rsidRDefault="00C92544" w:rsidP="00EA3E27">
            <w:pPr>
              <w:spacing w:line="276" w:lineRule="auto"/>
              <w:jc w:val="center"/>
              <w:rPr>
                <w:rFonts w:ascii="Arial" w:hAnsi="Arial" w:cs="Arial"/>
                <w:sz w:val="20"/>
                <w:szCs w:val="20"/>
              </w:rPr>
            </w:pPr>
            <w:r>
              <w:rPr>
                <w:rFonts w:ascii="Arial" w:hAnsi="Arial" w:cs="Arial"/>
                <w:sz w:val="20"/>
                <w:szCs w:val="20"/>
              </w:rPr>
              <w:lastRenderedPageBreak/>
              <w:t xml:space="preserve">Decreto Supremo                                           </w:t>
            </w:r>
            <w:r w:rsidRPr="00485429">
              <w:rPr>
                <w:rFonts w:ascii="Arial" w:hAnsi="Arial" w:cs="Arial"/>
                <w:sz w:val="20"/>
                <w:szCs w:val="20"/>
              </w:rPr>
              <w:t xml:space="preserve"> Nº </w:t>
            </w:r>
            <w:r>
              <w:rPr>
                <w:rFonts w:ascii="Arial" w:hAnsi="Arial" w:cs="Arial"/>
                <w:sz w:val="20"/>
                <w:szCs w:val="20"/>
              </w:rPr>
              <w:t>009</w:t>
            </w:r>
            <w:r w:rsidR="005119E4">
              <w:rPr>
                <w:rFonts w:ascii="Arial" w:hAnsi="Arial" w:cs="Arial"/>
                <w:sz w:val="20"/>
                <w:szCs w:val="20"/>
              </w:rPr>
              <w:t>-2014-</w:t>
            </w:r>
            <w:r>
              <w:rPr>
                <w:rFonts w:ascii="Arial" w:hAnsi="Arial" w:cs="Arial"/>
                <w:sz w:val="20"/>
                <w:szCs w:val="20"/>
              </w:rPr>
              <w:t>EF</w:t>
            </w:r>
          </w:p>
          <w:p w:rsidR="00C92544" w:rsidRPr="00485429" w:rsidRDefault="00C92544" w:rsidP="00EA3E27">
            <w:pPr>
              <w:spacing w:line="276" w:lineRule="auto"/>
              <w:jc w:val="center"/>
              <w:rPr>
                <w:rFonts w:ascii="Arial" w:hAnsi="Arial" w:cs="Arial"/>
                <w:sz w:val="20"/>
                <w:szCs w:val="20"/>
              </w:rPr>
            </w:pPr>
            <w:r w:rsidRPr="00DD155B">
              <w:rPr>
                <w:rFonts w:ascii="Arial" w:hAnsi="Arial" w:cs="Arial"/>
                <w:sz w:val="20"/>
                <w:szCs w:val="20"/>
              </w:rPr>
              <w:t>(15/01/2014)</w:t>
            </w:r>
          </w:p>
          <w:p w:rsidR="00C92544" w:rsidRPr="00485429" w:rsidRDefault="00C92544" w:rsidP="00EA3E27">
            <w:pPr>
              <w:spacing w:line="276" w:lineRule="auto"/>
              <w:jc w:val="center"/>
              <w:rPr>
                <w:rFonts w:ascii="Arial" w:hAnsi="Arial" w:cs="Arial"/>
                <w:sz w:val="20"/>
                <w:szCs w:val="20"/>
              </w:rPr>
            </w:pPr>
          </w:p>
        </w:tc>
        <w:tc>
          <w:tcPr>
            <w:tcW w:w="2977" w:type="dxa"/>
            <w:vAlign w:val="center"/>
          </w:tcPr>
          <w:p w:rsidR="007259CC" w:rsidRDefault="007259CC" w:rsidP="00EA3E27">
            <w:pPr>
              <w:spacing w:line="276" w:lineRule="auto"/>
              <w:jc w:val="center"/>
              <w:rPr>
                <w:rFonts w:ascii="Arial" w:hAnsi="Arial" w:cs="Arial"/>
                <w:sz w:val="20"/>
                <w:szCs w:val="20"/>
              </w:rPr>
            </w:pPr>
          </w:p>
          <w:p w:rsidR="00C92544" w:rsidRDefault="00C92544" w:rsidP="00EA3E27">
            <w:pPr>
              <w:spacing w:line="276" w:lineRule="auto"/>
              <w:jc w:val="center"/>
              <w:rPr>
                <w:rFonts w:ascii="Arial" w:hAnsi="Arial" w:cs="Arial"/>
                <w:sz w:val="20"/>
                <w:szCs w:val="20"/>
              </w:rPr>
            </w:pPr>
            <w:r>
              <w:rPr>
                <w:rFonts w:ascii="Arial" w:hAnsi="Arial" w:cs="Arial"/>
                <w:sz w:val="20"/>
                <w:szCs w:val="20"/>
              </w:rPr>
              <w:t>Decreto Suprem</w:t>
            </w:r>
            <w:r w:rsidR="00BB2822">
              <w:rPr>
                <w:rFonts w:ascii="Arial" w:hAnsi="Arial" w:cs="Arial"/>
                <w:sz w:val="20"/>
                <w:szCs w:val="20"/>
              </w:rPr>
              <w:t>o</w:t>
            </w:r>
            <w:r>
              <w:rPr>
                <w:rFonts w:ascii="Arial" w:hAnsi="Arial" w:cs="Arial"/>
                <w:sz w:val="20"/>
                <w:szCs w:val="20"/>
              </w:rPr>
              <w:t xml:space="preserve"> que determina la relación</w:t>
            </w:r>
            <w:r w:rsidR="002708AA">
              <w:rPr>
                <w:rFonts w:ascii="Arial" w:hAnsi="Arial" w:cs="Arial"/>
                <w:sz w:val="20"/>
                <w:szCs w:val="20"/>
              </w:rPr>
              <w:t xml:space="preserve"> de entidades que se sujetan al proceso de conclusión del procedimiento previsto en la Ley 29874, que concluye con la aprobación de la Escala del Incentivo Único a que se refiere la Quincuagésima </w:t>
            </w:r>
            <w:r w:rsidR="007259CC">
              <w:rPr>
                <w:rFonts w:ascii="Arial" w:hAnsi="Arial" w:cs="Arial"/>
                <w:sz w:val="20"/>
                <w:szCs w:val="20"/>
              </w:rPr>
              <w:t>d</w:t>
            </w:r>
            <w:r w:rsidR="002708AA">
              <w:rPr>
                <w:rFonts w:ascii="Arial" w:hAnsi="Arial" w:cs="Arial"/>
                <w:sz w:val="20"/>
                <w:szCs w:val="20"/>
              </w:rPr>
              <w:t xml:space="preserve">isposición </w:t>
            </w:r>
            <w:r w:rsidR="007259CC">
              <w:rPr>
                <w:rFonts w:ascii="Arial" w:hAnsi="Arial" w:cs="Arial"/>
                <w:sz w:val="20"/>
                <w:szCs w:val="20"/>
              </w:rPr>
              <w:t>complementaria f</w:t>
            </w:r>
            <w:r w:rsidR="002708AA">
              <w:rPr>
                <w:rFonts w:ascii="Arial" w:hAnsi="Arial" w:cs="Arial"/>
                <w:sz w:val="20"/>
                <w:szCs w:val="20"/>
              </w:rPr>
              <w:t>inal de la Ley Nº 30114, fija plazos y dicta disposiciones para mejor implementación de la referida disposición</w:t>
            </w:r>
          </w:p>
          <w:p w:rsidR="007259CC" w:rsidRPr="00485429" w:rsidRDefault="007259CC" w:rsidP="00EA3E27">
            <w:pPr>
              <w:spacing w:line="276" w:lineRule="auto"/>
              <w:jc w:val="center"/>
              <w:rPr>
                <w:rFonts w:ascii="Arial" w:hAnsi="Arial" w:cs="Arial"/>
                <w:sz w:val="20"/>
                <w:szCs w:val="20"/>
              </w:rPr>
            </w:pPr>
          </w:p>
        </w:tc>
        <w:tc>
          <w:tcPr>
            <w:tcW w:w="2412" w:type="dxa"/>
            <w:vAlign w:val="center"/>
          </w:tcPr>
          <w:p w:rsidR="00C92544" w:rsidRPr="00485429" w:rsidRDefault="00C92544" w:rsidP="00EA3E27">
            <w:pPr>
              <w:spacing w:line="276" w:lineRule="auto"/>
              <w:jc w:val="center"/>
              <w:rPr>
                <w:rFonts w:ascii="Arial" w:hAnsi="Arial" w:cs="Arial"/>
                <w:sz w:val="20"/>
                <w:szCs w:val="20"/>
              </w:rPr>
            </w:pPr>
            <w:r w:rsidRPr="00485429">
              <w:rPr>
                <w:rFonts w:ascii="Arial" w:hAnsi="Arial" w:cs="Arial"/>
                <w:sz w:val="20"/>
                <w:szCs w:val="20"/>
              </w:rPr>
              <w:t>M</w:t>
            </w:r>
            <w:r>
              <w:rPr>
                <w:rFonts w:ascii="Arial" w:hAnsi="Arial" w:cs="Arial"/>
                <w:sz w:val="20"/>
                <w:szCs w:val="20"/>
              </w:rPr>
              <w:t>inisterio de Economía y Finanzas</w:t>
            </w:r>
          </w:p>
        </w:tc>
        <w:tc>
          <w:tcPr>
            <w:tcW w:w="6311" w:type="dxa"/>
            <w:vAlign w:val="center"/>
          </w:tcPr>
          <w:p w:rsidR="002708AA" w:rsidRPr="00E015D1" w:rsidRDefault="002708AA" w:rsidP="00EA3E27">
            <w:pPr>
              <w:pStyle w:val="Prrafodelista"/>
              <w:numPr>
                <w:ilvl w:val="0"/>
                <w:numId w:val="4"/>
              </w:numPr>
              <w:autoSpaceDE w:val="0"/>
              <w:autoSpaceDN w:val="0"/>
              <w:adjustRightInd w:val="0"/>
              <w:spacing w:line="276" w:lineRule="auto"/>
              <w:jc w:val="both"/>
              <w:rPr>
                <w:rFonts w:ascii="Arial" w:eastAsia="Calibri" w:hAnsi="Arial" w:cs="Arial"/>
                <w:sz w:val="20"/>
                <w:szCs w:val="20"/>
                <w:lang w:eastAsia="es-PE"/>
              </w:rPr>
            </w:pPr>
            <w:r>
              <w:rPr>
                <w:rFonts w:ascii="Arial" w:eastAsia="Calibri" w:hAnsi="Arial" w:cs="Arial"/>
                <w:sz w:val="20"/>
                <w:szCs w:val="20"/>
                <w:lang w:eastAsia="es-PE"/>
              </w:rPr>
              <w:t xml:space="preserve">Se aprueba la relación de entidades que se sujetan al proceso de conclusión del procedimiento previsto en la Ley Nº 29874, </w:t>
            </w:r>
            <w:r w:rsidR="000D098A">
              <w:rPr>
                <w:rFonts w:ascii="Arial" w:eastAsia="Calibri" w:hAnsi="Arial" w:cs="Arial"/>
                <w:sz w:val="20"/>
                <w:szCs w:val="20"/>
                <w:lang w:eastAsia="es-PE"/>
              </w:rPr>
              <w:t>que se consignan en el Anexo 1 del presente Decreto Supremo</w:t>
            </w:r>
            <w:r>
              <w:rPr>
                <w:rFonts w:ascii="Arial" w:eastAsia="Calibri" w:hAnsi="Arial" w:cs="Arial"/>
                <w:sz w:val="20"/>
                <w:szCs w:val="20"/>
                <w:lang w:eastAsia="es-PE"/>
              </w:rPr>
              <w:t>,</w:t>
            </w:r>
            <w:r w:rsidR="000D098A">
              <w:rPr>
                <w:rFonts w:ascii="Arial" w:eastAsia="Calibri" w:hAnsi="Arial" w:cs="Arial"/>
                <w:sz w:val="20"/>
                <w:szCs w:val="20"/>
                <w:lang w:eastAsia="es-PE"/>
              </w:rPr>
              <w:t xml:space="preserve"> así como en el Anexo 2, en el cual se</w:t>
            </w:r>
            <w:r>
              <w:rPr>
                <w:rFonts w:ascii="Arial" w:eastAsia="Calibri" w:hAnsi="Arial" w:cs="Arial"/>
                <w:sz w:val="20"/>
                <w:szCs w:val="20"/>
                <w:lang w:eastAsia="es-PE"/>
              </w:rPr>
              <w:t xml:space="preserve"> fija</w:t>
            </w:r>
            <w:r w:rsidR="000D098A">
              <w:rPr>
                <w:rFonts w:ascii="Arial" w:eastAsia="Calibri" w:hAnsi="Arial" w:cs="Arial"/>
                <w:sz w:val="20"/>
                <w:szCs w:val="20"/>
                <w:lang w:eastAsia="es-PE"/>
              </w:rPr>
              <w:t>n</w:t>
            </w:r>
            <w:r>
              <w:rPr>
                <w:rFonts w:ascii="Arial" w:eastAsia="Calibri" w:hAnsi="Arial" w:cs="Arial"/>
                <w:sz w:val="20"/>
                <w:szCs w:val="20"/>
                <w:lang w:eastAsia="es-PE"/>
              </w:rPr>
              <w:t xml:space="preserve"> plazos y dicta</w:t>
            </w:r>
            <w:r w:rsidR="000D098A">
              <w:rPr>
                <w:rFonts w:ascii="Arial" w:eastAsia="Calibri" w:hAnsi="Arial" w:cs="Arial"/>
                <w:sz w:val="20"/>
                <w:szCs w:val="20"/>
                <w:lang w:eastAsia="es-PE"/>
              </w:rPr>
              <w:t>n</w:t>
            </w:r>
            <w:r>
              <w:rPr>
                <w:rFonts w:ascii="Arial" w:eastAsia="Calibri" w:hAnsi="Arial" w:cs="Arial"/>
                <w:sz w:val="20"/>
                <w:szCs w:val="20"/>
                <w:lang w:eastAsia="es-PE"/>
              </w:rPr>
              <w:t xml:space="preserve"> disposiciones necesarias para la mejor implementación de la </w:t>
            </w:r>
            <w:r>
              <w:rPr>
                <w:rFonts w:ascii="Arial" w:hAnsi="Arial" w:cs="Arial"/>
                <w:sz w:val="20"/>
                <w:szCs w:val="20"/>
              </w:rPr>
              <w:t xml:space="preserve">Quincuagésima </w:t>
            </w:r>
            <w:r w:rsidR="00EA3E27">
              <w:rPr>
                <w:rFonts w:ascii="Arial" w:hAnsi="Arial" w:cs="Arial"/>
                <w:sz w:val="20"/>
                <w:szCs w:val="20"/>
              </w:rPr>
              <w:t>D</w:t>
            </w:r>
            <w:r>
              <w:rPr>
                <w:rFonts w:ascii="Arial" w:hAnsi="Arial" w:cs="Arial"/>
                <w:sz w:val="20"/>
                <w:szCs w:val="20"/>
              </w:rPr>
              <w:t xml:space="preserve">isposición </w:t>
            </w:r>
            <w:r w:rsidR="00EA3E27">
              <w:rPr>
                <w:rFonts w:ascii="Arial" w:hAnsi="Arial" w:cs="Arial"/>
                <w:sz w:val="20"/>
                <w:szCs w:val="20"/>
              </w:rPr>
              <w:t>C</w:t>
            </w:r>
            <w:r>
              <w:rPr>
                <w:rFonts w:ascii="Arial" w:hAnsi="Arial" w:cs="Arial"/>
                <w:sz w:val="20"/>
                <w:szCs w:val="20"/>
              </w:rPr>
              <w:t xml:space="preserve">omplementaria </w:t>
            </w:r>
            <w:r w:rsidR="00EA3E27">
              <w:rPr>
                <w:rFonts w:ascii="Arial" w:hAnsi="Arial" w:cs="Arial"/>
                <w:sz w:val="20"/>
                <w:szCs w:val="20"/>
              </w:rPr>
              <w:t>F</w:t>
            </w:r>
            <w:r>
              <w:rPr>
                <w:rFonts w:ascii="Arial" w:hAnsi="Arial" w:cs="Arial"/>
                <w:sz w:val="20"/>
                <w:szCs w:val="20"/>
              </w:rPr>
              <w:t>inal de la Ley Nº 3011</w:t>
            </w:r>
            <w:r w:rsidR="000D098A">
              <w:rPr>
                <w:rFonts w:ascii="Arial" w:hAnsi="Arial" w:cs="Arial"/>
                <w:sz w:val="20"/>
                <w:szCs w:val="20"/>
              </w:rPr>
              <w:t>4.</w:t>
            </w:r>
          </w:p>
          <w:p w:rsidR="00E015D1" w:rsidRPr="000D098A" w:rsidRDefault="00E015D1" w:rsidP="00EA3E27">
            <w:pPr>
              <w:pStyle w:val="Prrafodelista"/>
              <w:autoSpaceDE w:val="0"/>
              <w:autoSpaceDN w:val="0"/>
              <w:adjustRightInd w:val="0"/>
              <w:spacing w:line="276" w:lineRule="auto"/>
              <w:ind w:left="360"/>
              <w:jc w:val="both"/>
              <w:rPr>
                <w:rFonts w:ascii="Arial" w:eastAsia="Calibri" w:hAnsi="Arial" w:cs="Arial"/>
                <w:sz w:val="20"/>
                <w:szCs w:val="20"/>
                <w:lang w:eastAsia="es-PE"/>
              </w:rPr>
            </w:pPr>
          </w:p>
          <w:p w:rsidR="003A1571" w:rsidRPr="00EA3E27" w:rsidRDefault="000D098A" w:rsidP="00EA3E27">
            <w:pPr>
              <w:pStyle w:val="Prrafodelista"/>
              <w:numPr>
                <w:ilvl w:val="0"/>
                <w:numId w:val="4"/>
              </w:numPr>
              <w:autoSpaceDE w:val="0"/>
              <w:autoSpaceDN w:val="0"/>
              <w:adjustRightInd w:val="0"/>
              <w:spacing w:line="276" w:lineRule="auto"/>
              <w:jc w:val="both"/>
              <w:rPr>
                <w:rFonts w:ascii="Arial" w:eastAsia="Calibri" w:hAnsi="Arial" w:cs="Arial"/>
                <w:color w:val="000000" w:themeColor="text1"/>
                <w:sz w:val="20"/>
                <w:szCs w:val="20"/>
                <w:lang w:eastAsia="es-PE"/>
              </w:rPr>
            </w:pPr>
            <w:r>
              <w:rPr>
                <w:rFonts w:ascii="Arial" w:hAnsi="Arial" w:cs="Arial"/>
                <w:sz w:val="20"/>
                <w:szCs w:val="20"/>
              </w:rPr>
              <w:t xml:space="preserve">Los mencionados Anexos, se publicarán en el Portal institucional del Ministerio de Economía y Finanzas </w:t>
            </w:r>
            <w:r w:rsidRPr="00EA3E27">
              <w:rPr>
                <w:rFonts w:ascii="Arial" w:hAnsi="Arial" w:cs="Arial"/>
                <w:color w:val="000000" w:themeColor="text1"/>
                <w:sz w:val="20"/>
                <w:szCs w:val="20"/>
              </w:rPr>
              <w:t>(</w:t>
            </w:r>
            <w:hyperlink r:id="rId5" w:history="1">
              <w:r w:rsidRPr="00EA3E27">
                <w:rPr>
                  <w:rStyle w:val="Hipervnculo"/>
                  <w:rFonts w:ascii="Arial" w:hAnsi="Arial" w:cs="Arial"/>
                  <w:color w:val="000000" w:themeColor="text1"/>
                  <w:sz w:val="20"/>
                  <w:szCs w:val="20"/>
                  <w:u w:val="none"/>
                </w:rPr>
                <w:t>www.mef.gob.pe</w:t>
              </w:r>
            </w:hyperlink>
            <w:r w:rsidRPr="00EA3E27">
              <w:rPr>
                <w:rFonts w:ascii="Arial" w:hAnsi="Arial" w:cs="Arial"/>
                <w:color w:val="000000" w:themeColor="text1"/>
                <w:sz w:val="20"/>
                <w:szCs w:val="20"/>
              </w:rPr>
              <w:t>).</w:t>
            </w:r>
          </w:p>
          <w:p w:rsidR="002708AA" w:rsidRDefault="002708AA" w:rsidP="00EA3E27">
            <w:pPr>
              <w:pStyle w:val="Prrafodelista"/>
              <w:autoSpaceDE w:val="0"/>
              <w:autoSpaceDN w:val="0"/>
              <w:adjustRightInd w:val="0"/>
              <w:spacing w:line="276" w:lineRule="auto"/>
              <w:ind w:left="360"/>
              <w:jc w:val="both"/>
              <w:rPr>
                <w:rFonts w:ascii="Arial" w:eastAsia="Calibri" w:hAnsi="Arial" w:cs="Arial"/>
                <w:sz w:val="20"/>
                <w:szCs w:val="20"/>
                <w:lang w:eastAsia="es-PE"/>
              </w:rPr>
            </w:pPr>
          </w:p>
          <w:p w:rsidR="00EA3E27" w:rsidRDefault="00EA3E27" w:rsidP="00EA3E27">
            <w:pPr>
              <w:pStyle w:val="Prrafodelista"/>
              <w:autoSpaceDE w:val="0"/>
              <w:autoSpaceDN w:val="0"/>
              <w:adjustRightInd w:val="0"/>
              <w:spacing w:line="276" w:lineRule="auto"/>
              <w:ind w:left="360"/>
              <w:jc w:val="both"/>
              <w:rPr>
                <w:rFonts w:ascii="Arial" w:eastAsia="Calibri" w:hAnsi="Arial" w:cs="Arial"/>
                <w:sz w:val="20"/>
                <w:szCs w:val="20"/>
                <w:lang w:eastAsia="es-PE"/>
              </w:rPr>
            </w:pPr>
          </w:p>
          <w:p w:rsidR="003A1571" w:rsidRPr="00EA3E27" w:rsidRDefault="003A1571" w:rsidP="00EA3E27">
            <w:pPr>
              <w:spacing w:after="200" w:line="276" w:lineRule="auto"/>
              <w:ind w:left="360"/>
              <w:jc w:val="both"/>
              <w:rPr>
                <w:rFonts w:ascii="Arial" w:hAnsi="Arial" w:cs="Arial"/>
                <w:sz w:val="10"/>
                <w:szCs w:val="20"/>
                <w:lang w:eastAsia="es-PE"/>
              </w:rPr>
            </w:pPr>
            <w:r w:rsidRPr="00EA3E27">
              <w:rPr>
                <w:rFonts w:ascii="Calibri" w:hAnsi="Calibri"/>
                <w:sz w:val="16"/>
                <w:szCs w:val="16"/>
                <w:u w:val="single"/>
                <w:lang w:eastAsia="es-PE"/>
              </w:rPr>
              <w:t>Nota</w:t>
            </w:r>
            <w:r w:rsidRPr="003A1571">
              <w:rPr>
                <w:rFonts w:ascii="Calibri" w:hAnsi="Calibri"/>
                <w:sz w:val="16"/>
                <w:szCs w:val="16"/>
                <w:lang w:eastAsia="es-PE"/>
              </w:rPr>
              <w:t>: A la fecha de elaboración del presente reporte, aún no se había pu</w:t>
            </w:r>
            <w:r>
              <w:rPr>
                <w:rFonts w:ascii="Calibri" w:hAnsi="Calibri"/>
                <w:sz w:val="16"/>
                <w:szCs w:val="16"/>
                <w:lang w:eastAsia="es-PE"/>
              </w:rPr>
              <w:t>blicado la presente norma en el portal</w:t>
            </w:r>
            <w:r w:rsidRPr="003A1571">
              <w:rPr>
                <w:rFonts w:ascii="Calibri" w:hAnsi="Calibri"/>
                <w:sz w:val="16"/>
                <w:szCs w:val="16"/>
                <w:lang w:eastAsia="es-PE"/>
              </w:rPr>
              <w:t xml:space="preserve"> electrónico antes mencionado</w:t>
            </w:r>
            <w:r>
              <w:rPr>
                <w:rFonts w:ascii="Calibri" w:hAnsi="Calibri"/>
                <w:sz w:val="16"/>
                <w:szCs w:val="16"/>
                <w:lang w:eastAsia="es-PE"/>
              </w:rPr>
              <w:t>.</w:t>
            </w:r>
          </w:p>
        </w:tc>
      </w:tr>
      <w:tr w:rsidR="00C92544" w:rsidTr="00667B43">
        <w:trPr>
          <w:trHeight w:val="4105"/>
        </w:trPr>
        <w:tc>
          <w:tcPr>
            <w:tcW w:w="2518" w:type="dxa"/>
            <w:vAlign w:val="center"/>
          </w:tcPr>
          <w:p w:rsidR="00C92544" w:rsidRPr="00485429" w:rsidRDefault="00C92544" w:rsidP="00EA3E27">
            <w:pPr>
              <w:spacing w:line="276" w:lineRule="auto"/>
              <w:jc w:val="center"/>
              <w:rPr>
                <w:rFonts w:ascii="Arial" w:hAnsi="Arial" w:cs="Arial"/>
                <w:sz w:val="20"/>
                <w:szCs w:val="20"/>
              </w:rPr>
            </w:pPr>
            <w:r>
              <w:rPr>
                <w:rFonts w:ascii="Arial" w:hAnsi="Arial" w:cs="Arial"/>
                <w:sz w:val="20"/>
                <w:szCs w:val="20"/>
              </w:rPr>
              <w:t xml:space="preserve">Decreto Supremo                                           </w:t>
            </w:r>
            <w:r w:rsidRPr="00485429">
              <w:rPr>
                <w:rFonts w:ascii="Arial" w:hAnsi="Arial" w:cs="Arial"/>
                <w:sz w:val="20"/>
                <w:szCs w:val="20"/>
              </w:rPr>
              <w:t xml:space="preserve"> Nº </w:t>
            </w:r>
            <w:r>
              <w:rPr>
                <w:rFonts w:ascii="Arial" w:hAnsi="Arial" w:cs="Arial"/>
                <w:sz w:val="20"/>
                <w:szCs w:val="20"/>
              </w:rPr>
              <w:t>010</w:t>
            </w:r>
            <w:r w:rsidR="005119E4">
              <w:rPr>
                <w:rFonts w:ascii="Arial" w:hAnsi="Arial" w:cs="Arial"/>
                <w:sz w:val="20"/>
                <w:szCs w:val="20"/>
              </w:rPr>
              <w:t>-2014-</w:t>
            </w:r>
            <w:r>
              <w:rPr>
                <w:rFonts w:ascii="Arial" w:hAnsi="Arial" w:cs="Arial"/>
                <w:sz w:val="20"/>
                <w:szCs w:val="20"/>
              </w:rPr>
              <w:t>EF</w:t>
            </w:r>
          </w:p>
          <w:p w:rsidR="00C92544" w:rsidRPr="00485429" w:rsidRDefault="00C92544" w:rsidP="00EA3E27">
            <w:pPr>
              <w:spacing w:line="276" w:lineRule="auto"/>
              <w:jc w:val="center"/>
              <w:rPr>
                <w:rFonts w:ascii="Arial" w:hAnsi="Arial" w:cs="Arial"/>
                <w:sz w:val="20"/>
                <w:szCs w:val="20"/>
              </w:rPr>
            </w:pPr>
            <w:r w:rsidRPr="00524D3C">
              <w:rPr>
                <w:rFonts w:ascii="Arial" w:hAnsi="Arial" w:cs="Arial"/>
                <w:sz w:val="20"/>
                <w:szCs w:val="20"/>
              </w:rPr>
              <w:t>(15/01/2014)</w:t>
            </w:r>
          </w:p>
          <w:p w:rsidR="00C92544" w:rsidRPr="00485429" w:rsidRDefault="00C92544" w:rsidP="00EA3E27">
            <w:pPr>
              <w:spacing w:line="276" w:lineRule="auto"/>
              <w:jc w:val="center"/>
              <w:rPr>
                <w:rFonts w:ascii="Arial" w:hAnsi="Arial" w:cs="Arial"/>
                <w:sz w:val="20"/>
                <w:szCs w:val="20"/>
              </w:rPr>
            </w:pPr>
          </w:p>
        </w:tc>
        <w:tc>
          <w:tcPr>
            <w:tcW w:w="2977" w:type="dxa"/>
            <w:vAlign w:val="center"/>
          </w:tcPr>
          <w:p w:rsidR="00C92544" w:rsidRPr="00485429" w:rsidRDefault="00C92544" w:rsidP="00EA3E27">
            <w:pPr>
              <w:spacing w:line="276" w:lineRule="auto"/>
              <w:jc w:val="center"/>
              <w:rPr>
                <w:rFonts w:ascii="Arial" w:hAnsi="Arial" w:cs="Arial"/>
                <w:sz w:val="20"/>
                <w:szCs w:val="20"/>
              </w:rPr>
            </w:pPr>
            <w:r>
              <w:rPr>
                <w:rFonts w:ascii="Arial" w:hAnsi="Arial" w:cs="Arial"/>
                <w:sz w:val="20"/>
                <w:szCs w:val="20"/>
              </w:rPr>
              <w:t>Aprueba normas reglamentarias para que las entidades públicas realicen afectaciones en la Planilla Única de Pagos</w:t>
            </w:r>
          </w:p>
        </w:tc>
        <w:tc>
          <w:tcPr>
            <w:tcW w:w="2412" w:type="dxa"/>
            <w:vAlign w:val="center"/>
          </w:tcPr>
          <w:p w:rsidR="00C92544" w:rsidRPr="00485429" w:rsidRDefault="00C92544" w:rsidP="00EA3E27">
            <w:pPr>
              <w:spacing w:line="276" w:lineRule="auto"/>
              <w:jc w:val="center"/>
              <w:rPr>
                <w:rFonts w:ascii="Arial" w:hAnsi="Arial" w:cs="Arial"/>
                <w:sz w:val="20"/>
                <w:szCs w:val="20"/>
              </w:rPr>
            </w:pPr>
            <w:r w:rsidRPr="00485429">
              <w:rPr>
                <w:rFonts w:ascii="Arial" w:hAnsi="Arial" w:cs="Arial"/>
                <w:sz w:val="20"/>
                <w:szCs w:val="20"/>
              </w:rPr>
              <w:t>M</w:t>
            </w:r>
            <w:r>
              <w:rPr>
                <w:rFonts w:ascii="Arial" w:hAnsi="Arial" w:cs="Arial"/>
                <w:sz w:val="20"/>
                <w:szCs w:val="20"/>
              </w:rPr>
              <w:t>inisterio de Economía y Finanzas</w:t>
            </w:r>
          </w:p>
        </w:tc>
        <w:tc>
          <w:tcPr>
            <w:tcW w:w="6311" w:type="dxa"/>
            <w:vAlign w:val="center"/>
          </w:tcPr>
          <w:p w:rsidR="007A4090" w:rsidRDefault="007A4090" w:rsidP="00EA3E27">
            <w:pPr>
              <w:pStyle w:val="Prrafodelista"/>
              <w:autoSpaceDE w:val="0"/>
              <w:autoSpaceDN w:val="0"/>
              <w:adjustRightInd w:val="0"/>
              <w:spacing w:line="276" w:lineRule="auto"/>
              <w:ind w:left="360"/>
              <w:jc w:val="both"/>
              <w:rPr>
                <w:rFonts w:ascii="Arial" w:eastAsia="Calibri" w:hAnsi="Arial" w:cs="Arial"/>
                <w:sz w:val="20"/>
                <w:szCs w:val="20"/>
                <w:lang w:eastAsia="es-PE"/>
              </w:rPr>
            </w:pPr>
          </w:p>
          <w:p w:rsidR="00C92544" w:rsidRPr="00792B9A" w:rsidRDefault="009547E0" w:rsidP="00EA3E27">
            <w:pPr>
              <w:pStyle w:val="Prrafodelista"/>
              <w:numPr>
                <w:ilvl w:val="0"/>
                <w:numId w:val="4"/>
              </w:numPr>
              <w:autoSpaceDE w:val="0"/>
              <w:autoSpaceDN w:val="0"/>
              <w:adjustRightInd w:val="0"/>
              <w:spacing w:line="276" w:lineRule="auto"/>
              <w:jc w:val="both"/>
              <w:rPr>
                <w:rFonts w:ascii="Arial" w:hAnsi="Arial" w:cs="Arial"/>
                <w:sz w:val="20"/>
                <w:szCs w:val="20"/>
              </w:rPr>
            </w:pPr>
            <w:r w:rsidRPr="00792B9A">
              <w:rPr>
                <w:rFonts w:ascii="Arial" w:eastAsia="Calibri" w:hAnsi="Arial" w:cs="Arial"/>
                <w:sz w:val="20"/>
                <w:szCs w:val="20"/>
                <w:lang w:eastAsia="es-PE"/>
              </w:rPr>
              <w:t xml:space="preserve">Se aprueban las normas </w:t>
            </w:r>
            <w:r w:rsidRPr="00792B9A">
              <w:rPr>
                <w:rFonts w:ascii="Arial" w:hAnsi="Arial" w:cs="Arial"/>
                <w:sz w:val="20"/>
                <w:szCs w:val="20"/>
              </w:rPr>
              <w:t>reglamentarias para que las entidades públicas realicen y adecúen los descuentos en la planilla única de pagos, en el marco de la Cuadragésima Primera Disposición Complementaria Final</w:t>
            </w:r>
            <w:r w:rsidR="00792B9A" w:rsidRPr="00792B9A">
              <w:rPr>
                <w:rFonts w:ascii="Arial" w:hAnsi="Arial" w:cs="Arial"/>
                <w:sz w:val="20"/>
                <w:szCs w:val="20"/>
              </w:rPr>
              <w:t xml:space="preserve"> de la Ley Nº 30114, Ley de</w:t>
            </w:r>
            <w:r w:rsidR="00792B9A">
              <w:rPr>
                <w:rFonts w:ascii="Arial" w:hAnsi="Arial" w:cs="Arial"/>
                <w:sz w:val="20"/>
                <w:szCs w:val="20"/>
              </w:rPr>
              <w:t xml:space="preserve"> </w:t>
            </w:r>
            <w:r w:rsidR="00792B9A" w:rsidRPr="00792B9A">
              <w:rPr>
                <w:rFonts w:ascii="Arial" w:hAnsi="Arial" w:cs="Arial"/>
                <w:sz w:val="20"/>
                <w:szCs w:val="20"/>
              </w:rPr>
              <w:t>Presupuesto del Sector Público para el año Fiscal 2014</w:t>
            </w:r>
            <w:r w:rsidR="00EA3E27">
              <w:rPr>
                <w:rFonts w:ascii="Arial" w:hAnsi="Arial" w:cs="Arial"/>
                <w:sz w:val="20"/>
                <w:szCs w:val="20"/>
              </w:rPr>
              <w:t>.</w:t>
            </w:r>
          </w:p>
          <w:p w:rsidR="00E015D1" w:rsidRPr="00524D3C" w:rsidRDefault="00E015D1" w:rsidP="00EA3E27">
            <w:pPr>
              <w:pStyle w:val="Prrafodelista"/>
              <w:autoSpaceDE w:val="0"/>
              <w:autoSpaceDN w:val="0"/>
              <w:adjustRightInd w:val="0"/>
              <w:spacing w:line="276" w:lineRule="auto"/>
              <w:ind w:left="360"/>
              <w:jc w:val="both"/>
              <w:rPr>
                <w:rFonts w:ascii="Arial" w:eastAsia="Calibri" w:hAnsi="Arial" w:cs="Arial"/>
                <w:sz w:val="20"/>
                <w:szCs w:val="20"/>
                <w:lang w:eastAsia="es-PE"/>
              </w:rPr>
            </w:pPr>
          </w:p>
          <w:p w:rsidR="00F32976" w:rsidRPr="00F32976" w:rsidRDefault="00F32976" w:rsidP="00EA3E27">
            <w:pPr>
              <w:pStyle w:val="Prrafodelista"/>
              <w:numPr>
                <w:ilvl w:val="0"/>
                <w:numId w:val="4"/>
              </w:numPr>
              <w:autoSpaceDE w:val="0"/>
              <w:autoSpaceDN w:val="0"/>
              <w:adjustRightInd w:val="0"/>
              <w:spacing w:line="276" w:lineRule="auto"/>
              <w:jc w:val="both"/>
              <w:rPr>
                <w:rFonts w:ascii="Arial" w:eastAsia="Calibri" w:hAnsi="Arial" w:cs="Arial"/>
                <w:sz w:val="20"/>
                <w:szCs w:val="20"/>
                <w:lang w:eastAsia="es-PE"/>
              </w:rPr>
            </w:pPr>
            <w:r>
              <w:rPr>
                <w:rFonts w:ascii="Arial" w:hAnsi="Arial" w:cs="Arial"/>
                <w:sz w:val="20"/>
                <w:szCs w:val="20"/>
              </w:rPr>
              <w:t>El o</w:t>
            </w:r>
            <w:r w:rsidR="00E015D1" w:rsidRPr="00E015D1">
              <w:rPr>
                <w:rFonts w:ascii="Arial" w:hAnsi="Arial" w:cs="Arial"/>
                <w:sz w:val="20"/>
                <w:szCs w:val="20"/>
              </w:rPr>
              <w:t>bjeto</w:t>
            </w:r>
            <w:r>
              <w:rPr>
                <w:rFonts w:ascii="Arial" w:hAnsi="Arial" w:cs="Arial"/>
                <w:sz w:val="20"/>
                <w:szCs w:val="20"/>
              </w:rPr>
              <w:t xml:space="preserve"> de las presentes</w:t>
            </w:r>
            <w:r w:rsidR="00792B9A">
              <w:rPr>
                <w:rFonts w:ascii="Arial" w:hAnsi="Arial" w:cs="Arial"/>
                <w:sz w:val="20"/>
                <w:szCs w:val="20"/>
              </w:rPr>
              <w:t xml:space="preserve"> normas reglamentarias</w:t>
            </w:r>
            <w:r>
              <w:rPr>
                <w:rFonts w:ascii="Arial" w:hAnsi="Arial" w:cs="Arial"/>
                <w:sz w:val="20"/>
                <w:szCs w:val="20"/>
              </w:rPr>
              <w:t xml:space="preserve">, es </w:t>
            </w:r>
            <w:r w:rsidRPr="00F32976">
              <w:rPr>
                <w:rFonts w:ascii="Arial" w:hAnsi="Arial" w:cs="Arial"/>
                <w:sz w:val="20"/>
                <w:szCs w:val="20"/>
              </w:rPr>
              <w:t>r</w:t>
            </w:r>
            <w:r w:rsidR="00792B9A">
              <w:rPr>
                <w:rFonts w:ascii="Arial" w:hAnsi="Arial" w:cs="Arial"/>
                <w:sz w:val="20"/>
                <w:szCs w:val="20"/>
              </w:rPr>
              <w:t>egular los descuentos y la</w:t>
            </w:r>
            <w:r w:rsidR="00E015D1" w:rsidRPr="00F32976">
              <w:rPr>
                <w:rFonts w:ascii="Arial" w:hAnsi="Arial" w:cs="Arial"/>
                <w:sz w:val="20"/>
                <w:szCs w:val="20"/>
              </w:rPr>
              <w:t xml:space="preserve"> adecuación</w:t>
            </w:r>
            <w:r w:rsidR="00792B9A">
              <w:rPr>
                <w:rFonts w:ascii="Arial" w:hAnsi="Arial" w:cs="Arial"/>
                <w:sz w:val="20"/>
                <w:szCs w:val="20"/>
              </w:rPr>
              <w:t xml:space="preserve"> de los mismos,</w:t>
            </w:r>
            <w:r w:rsidR="00E015D1" w:rsidRPr="00F32976">
              <w:rPr>
                <w:rFonts w:ascii="Arial" w:hAnsi="Arial" w:cs="Arial"/>
                <w:sz w:val="20"/>
                <w:szCs w:val="20"/>
              </w:rPr>
              <w:t xml:space="preserve"> </w:t>
            </w:r>
            <w:r w:rsidR="00792B9A">
              <w:rPr>
                <w:rFonts w:ascii="Arial" w:hAnsi="Arial" w:cs="Arial"/>
                <w:sz w:val="20"/>
                <w:szCs w:val="20"/>
              </w:rPr>
              <w:t>de</w:t>
            </w:r>
            <w:r w:rsidR="00E015D1" w:rsidRPr="00F32976">
              <w:rPr>
                <w:rFonts w:ascii="Arial" w:hAnsi="Arial" w:cs="Arial"/>
                <w:sz w:val="20"/>
                <w:szCs w:val="20"/>
              </w:rPr>
              <w:t xml:space="preserve"> la planilla única de pagos de las entidades del Sector</w:t>
            </w:r>
            <w:r>
              <w:rPr>
                <w:rFonts w:ascii="Arial" w:hAnsi="Arial" w:cs="Arial"/>
                <w:sz w:val="20"/>
                <w:szCs w:val="20"/>
              </w:rPr>
              <w:t xml:space="preserve"> </w:t>
            </w:r>
            <w:r w:rsidR="00E015D1" w:rsidRPr="00F32976">
              <w:rPr>
                <w:rFonts w:ascii="Arial" w:hAnsi="Arial" w:cs="Arial"/>
                <w:sz w:val="20"/>
                <w:szCs w:val="20"/>
              </w:rPr>
              <w:t>Público, en lo que corresponde a conceptos expresamente</w:t>
            </w:r>
            <w:r>
              <w:rPr>
                <w:rFonts w:ascii="Arial" w:hAnsi="Arial" w:cs="Arial"/>
                <w:sz w:val="20"/>
                <w:szCs w:val="20"/>
              </w:rPr>
              <w:t xml:space="preserve"> </w:t>
            </w:r>
            <w:r w:rsidR="00E015D1" w:rsidRPr="00F32976">
              <w:rPr>
                <w:rFonts w:ascii="Arial" w:hAnsi="Arial" w:cs="Arial"/>
                <w:sz w:val="20"/>
                <w:szCs w:val="20"/>
              </w:rPr>
              <w:t>solicitados y autorizados por el servidor o cesante.</w:t>
            </w:r>
          </w:p>
          <w:p w:rsidR="00F32976" w:rsidRPr="00F32976" w:rsidRDefault="00F32976" w:rsidP="00EA3E27">
            <w:pPr>
              <w:pStyle w:val="Prrafodelista"/>
              <w:spacing w:line="276" w:lineRule="auto"/>
              <w:jc w:val="both"/>
              <w:rPr>
                <w:rFonts w:ascii="Arial" w:hAnsi="Arial" w:cs="Arial"/>
                <w:sz w:val="20"/>
                <w:szCs w:val="20"/>
              </w:rPr>
            </w:pPr>
          </w:p>
          <w:p w:rsidR="00F32976" w:rsidRPr="00D81902" w:rsidRDefault="00F32976" w:rsidP="00EA3E27">
            <w:pPr>
              <w:pStyle w:val="Prrafodelista"/>
              <w:numPr>
                <w:ilvl w:val="0"/>
                <w:numId w:val="4"/>
              </w:numPr>
              <w:autoSpaceDE w:val="0"/>
              <w:autoSpaceDN w:val="0"/>
              <w:adjustRightInd w:val="0"/>
              <w:spacing w:line="276" w:lineRule="auto"/>
              <w:jc w:val="both"/>
              <w:rPr>
                <w:rFonts w:ascii="Arial" w:eastAsia="Calibri" w:hAnsi="Arial" w:cs="Arial"/>
                <w:sz w:val="20"/>
                <w:szCs w:val="20"/>
                <w:lang w:eastAsia="es-PE"/>
              </w:rPr>
            </w:pPr>
            <w:r w:rsidRPr="00F32976">
              <w:rPr>
                <w:rFonts w:ascii="Arial" w:hAnsi="Arial" w:cs="Arial"/>
                <w:sz w:val="20"/>
                <w:szCs w:val="20"/>
              </w:rPr>
              <w:t>Se encuentran comprendidas en el ámbito de la</w:t>
            </w:r>
            <w:r>
              <w:rPr>
                <w:rFonts w:ascii="Arial" w:hAnsi="Arial" w:cs="Arial"/>
                <w:sz w:val="20"/>
                <w:szCs w:val="20"/>
              </w:rPr>
              <w:t xml:space="preserve"> </w:t>
            </w:r>
            <w:r w:rsidRPr="00F32976">
              <w:rPr>
                <w:rFonts w:ascii="Arial" w:hAnsi="Arial" w:cs="Arial"/>
                <w:sz w:val="20"/>
                <w:szCs w:val="20"/>
              </w:rPr>
              <w:t>presente norma:</w:t>
            </w:r>
          </w:p>
          <w:p w:rsidR="00D81902" w:rsidRPr="00D81902" w:rsidRDefault="00D81902" w:rsidP="00EA3E27">
            <w:pPr>
              <w:autoSpaceDE w:val="0"/>
              <w:autoSpaceDN w:val="0"/>
              <w:adjustRightInd w:val="0"/>
              <w:spacing w:line="276" w:lineRule="auto"/>
              <w:jc w:val="both"/>
              <w:rPr>
                <w:rFonts w:ascii="Arial" w:eastAsia="Calibri" w:hAnsi="Arial" w:cs="Arial"/>
                <w:sz w:val="20"/>
                <w:szCs w:val="20"/>
                <w:lang w:eastAsia="es-PE"/>
              </w:rPr>
            </w:pPr>
          </w:p>
          <w:p w:rsidR="00F32976" w:rsidRDefault="00F32976" w:rsidP="00EA3E27">
            <w:pPr>
              <w:pStyle w:val="Prrafodelista"/>
              <w:numPr>
                <w:ilvl w:val="0"/>
                <w:numId w:val="14"/>
              </w:numPr>
              <w:autoSpaceDE w:val="0"/>
              <w:autoSpaceDN w:val="0"/>
              <w:adjustRightInd w:val="0"/>
              <w:spacing w:line="276" w:lineRule="auto"/>
              <w:jc w:val="both"/>
              <w:rPr>
                <w:rFonts w:ascii="Arial" w:hAnsi="Arial" w:cs="Arial"/>
                <w:sz w:val="20"/>
                <w:szCs w:val="20"/>
              </w:rPr>
            </w:pPr>
            <w:r w:rsidRPr="00F32976">
              <w:rPr>
                <w:rFonts w:ascii="Arial" w:hAnsi="Arial" w:cs="Arial"/>
                <w:sz w:val="20"/>
                <w:szCs w:val="20"/>
              </w:rPr>
              <w:t>Las entidades del Sector Público sujetas al</w:t>
            </w:r>
            <w:r>
              <w:rPr>
                <w:rFonts w:ascii="Arial" w:hAnsi="Arial" w:cs="Arial"/>
                <w:sz w:val="20"/>
                <w:szCs w:val="20"/>
              </w:rPr>
              <w:t xml:space="preserve"> </w:t>
            </w:r>
            <w:r w:rsidRPr="00F32976">
              <w:rPr>
                <w:rFonts w:ascii="Arial" w:hAnsi="Arial" w:cs="Arial"/>
                <w:sz w:val="20"/>
                <w:szCs w:val="20"/>
              </w:rPr>
              <w:t>ámbito de aplicación del Texto Único Ordenado de la</w:t>
            </w:r>
            <w:r>
              <w:rPr>
                <w:rFonts w:ascii="Arial" w:hAnsi="Arial" w:cs="Arial"/>
                <w:sz w:val="20"/>
                <w:szCs w:val="20"/>
              </w:rPr>
              <w:t xml:space="preserve"> </w:t>
            </w:r>
            <w:r w:rsidRPr="00F32976">
              <w:rPr>
                <w:rFonts w:ascii="Arial" w:hAnsi="Arial" w:cs="Arial"/>
                <w:sz w:val="20"/>
                <w:szCs w:val="20"/>
              </w:rPr>
              <w:t>Ley Nº 28411, Ley General del Sistema Nacional de</w:t>
            </w:r>
            <w:r>
              <w:rPr>
                <w:rFonts w:ascii="Arial" w:hAnsi="Arial" w:cs="Arial"/>
                <w:sz w:val="20"/>
                <w:szCs w:val="20"/>
              </w:rPr>
              <w:t xml:space="preserve"> Presupuesto.</w:t>
            </w:r>
          </w:p>
          <w:p w:rsidR="00F32976" w:rsidRPr="00EA3E27" w:rsidRDefault="00F32976" w:rsidP="00EA3E27">
            <w:pPr>
              <w:pStyle w:val="Prrafodelista"/>
              <w:numPr>
                <w:ilvl w:val="0"/>
                <w:numId w:val="14"/>
              </w:numPr>
              <w:autoSpaceDE w:val="0"/>
              <w:autoSpaceDN w:val="0"/>
              <w:adjustRightInd w:val="0"/>
              <w:spacing w:line="276" w:lineRule="auto"/>
              <w:jc w:val="both"/>
              <w:rPr>
                <w:rFonts w:ascii="Arial" w:hAnsi="Arial" w:cs="Arial"/>
                <w:b/>
                <w:sz w:val="20"/>
                <w:szCs w:val="20"/>
              </w:rPr>
            </w:pPr>
            <w:r w:rsidRPr="00EA3E27">
              <w:rPr>
                <w:rFonts w:ascii="Arial" w:hAnsi="Arial" w:cs="Arial"/>
                <w:b/>
                <w:sz w:val="20"/>
                <w:szCs w:val="20"/>
              </w:rPr>
              <w:t>Los servidores públicos independientemente del régimen laboral o de contratación a los que se encuentren sujetos y los cesantes del Estado.</w:t>
            </w:r>
          </w:p>
          <w:p w:rsidR="00F32976" w:rsidRDefault="00F32976" w:rsidP="00EA3E27">
            <w:pPr>
              <w:pStyle w:val="Prrafodelista"/>
              <w:numPr>
                <w:ilvl w:val="0"/>
                <w:numId w:val="14"/>
              </w:numPr>
              <w:autoSpaceDE w:val="0"/>
              <w:autoSpaceDN w:val="0"/>
              <w:adjustRightInd w:val="0"/>
              <w:spacing w:line="276" w:lineRule="auto"/>
              <w:jc w:val="both"/>
              <w:rPr>
                <w:rFonts w:ascii="Arial" w:hAnsi="Arial" w:cs="Arial"/>
                <w:sz w:val="20"/>
                <w:szCs w:val="20"/>
              </w:rPr>
            </w:pPr>
            <w:r w:rsidRPr="00F32976">
              <w:rPr>
                <w:rFonts w:ascii="Arial" w:hAnsi="Arial" w:cs="Arial"/>
                <w:sz w:val="20"/>
                <w:szCs w:val="20"/>
              </w:rPr>
              <w:t>Los fondos de bienestar y las entidades</w:t>
            </w:r>
            <w:r>
              <w:rPr>
                <w:rFonts w:ascii="Arial" w:hAnsi="Arial" w:cs="Arial"/>
                <w:sz w:val="20"/>
                <w:szCs w:val="20"/>
              </w:rPr>
              <w:t xml:space="preserve"> </w:t>
            </w:r>
            <w:r w:rsidRPr="00F32976">
              <w:rPr>
                <w:rFonts w:ascii="Arial" w:hAnsi="Arial" w:cs="Arial"/>
                <w:sz w:val="20"/>
                <w:szCs w:val="20"/>
              </w:rPr>
              <w:t>supervisadas y/o reguladas por la Superintendencia de</w:t>
            </w:r>
            <w:r>
              <w:rPr>
                <w:rFonts w:ascii="Arial" w:hAnsi="Arial" w:cs="Arial"/>
                <w:sz w:val="20"/>
                <w:szCs w:val="20"/>
              </w:rPr>
              <w:t xml:space="preserve"> </w:t>
            </w:r>
            <w:r w:rsidRPr="00F32976">
              <w:rPr>
                <w:rFonts w:ascii="Arial" w:hAnsi="Arial" w:cs="Arial"/>
                <w:sz w:val="20"/>
                <w:szCs w:val="20"/>
              </w:rPr>
              <w:t>Banca, Seguros y AFP</w:t>
            </w:r>
            <w:r w:rsidR="00302124">
              <w:rPr>
                <w:rFonts w:ascii="Arial" w:hAnsi="Arial" w:cs="Arial"/>
                <w:sz w:val="20"/>
                <w:szCs w:val="20"/>
              </w:rPr>
              <w:t xml:space="preserve"> (SBS)</w:t>
            </w:r>
            <w:r w:rsidRPr="00F32976">
              <w:rPr>
                <w:rFonts w:ascii="Arial" w:hAnsi="Arial" w:cs="Arial"/>
                <w:sz w:val="20"/>
                <w:szCs w:val="20"/>
              </w:rPr>
              <w:t>, con excepción de los sujetos</w:t>
            </w:r>
            <w:r>
              <w:rPr>
                <w:rFonts w:ascii="Arial" w:hAnsi="Arial" w:cs="Arial"/>
                <w:sz w:val="20"/>
                <w:szCs w:val="20"/>
              </w:rPr>
              <w:t xml:space="preserve"> </w:t>
            </w:r>
            <w:r w:rsidRPr="00F32976">
              <w:rPr>
                <w:rFonts w:ascii="Arial" w:hAnsi="Arial" w:cs="Arial"/>
                <w:sz w:val="20"/>
                <w:szCs w:val="20"/>
              </w:rPr>
              <w:t>obligados a reportar a la Unidad de Inteligencia Financiera</w:t>
            </w:r>
            <w:r>
              <w:rPr>
                <w:rFonts w:ascii="Arial" w:hAnsi="Arial" w:cs="Arial"/>
                <w:sz w:val="20"/>
                <w:szCs w:val="20"/>
              </w:rPr>
              <w:t xml:space="preserve"> (UIF) exclusivamente para fi</w:t>
            </w:r>
            <w:r w:rsidRPr="00F32976">
              <w:rPr>
                <w:rFonts w:ascii="Arial" w:hAnsi="Arial" w:cs="Arial"/>
                <w:sz w:val="20"/>
                <w:szCs w:val="20"/>
              </w:rPr>
              <w:t>nes de lavado de activos y</w:t>
            </w:r>
            <w:r>
              <w:rPr>
                <w:rFonts w:ascii="Arial" w:hAnsi="Arial" w:cs="Arial"/>
                <w:sz w:val="20"/>
                <w:szCs w:val="20"/>
              </w:rPr>
              <w:t xml:space="preserve"> fi</w:t>
            </w:r>
            <w:r w:rsidRPr="00F32976">
              <w:rPr>
                <w:rFonts w:ascii="Arial" w:hAnsi="Arial" w:cs="Arial"/>
                <w:sz w:val="20"/>
                <w:szCs w:val="20"/>
              </w:rPr>
              <w:t>nanciamiento del te</w:t>
            </w:r>
            <w:r>
              <w:rPr>
                <w:rFonts w:ascii="Arial" w:hAnsi="Arial" w:cs="Arial"/>
                <w:sz w:val="20"/>
                <w:szCs w:val="20"/>
              </w:rPr>
              <w:t xml:space="preserve">rrorismo con arreglo a la Ley Nº </w:t>
            </w:r>
            <w:r w:rsidRPr="00F32976">
              <w:rPr>
                <w:rFonts w:ascii="Arial" w:hAnsi="Arial" w:cs="Arial"/>
                <w:sz w:val="20"/>
                <w:szCs w:val="20"/>
              </w:rPr>
              <w:t>29038.</w:t>
            </w:r>
          </w:p>
          <w:p w:rsidR="00DB7E76" w:rsidRDefault="00DB7E76" w:rsidP="00EA3E27">
            <w:pPr>
              <w:autoSpaceDE w:val="0"/>
              <w:autoSpaceDN w:val="0"/>
              <w:adjustRightInd w:val="0"/>
              <w:spacing w:line="276" w:lineRule="auto"/>
              <w:jc w:val="both"/>
              <w:rPr>
                <w:rFonts w:ascii="Arial" w:hAnsi="Arial" w:cs="Arial"/>
                <w:sz w:val="20"/>
                <w:szCs w:val="20"/>
              </w:rPr>
            </w:pPr>
          </w:p>
          <w:p w:rsidR="00DB7E76" w:rsidRDefault="00DB7E76" w:rsidP="00EA3E27">
            <w:pPr>
              <w:pStyle w:val="Prrafodelista"/>
              <w:numPr>
                <w:ilvl w:val="0"/>
                <w:numId w:val="4"/>
              </w:numPr>
              <w:autoSpaceDE w:val="0"/>
              <w:autoSpaceDN w:val="0"/>
              <w:adjustRightInd w:val="0"/>
              <w:spacing w:line="276" w:lineRule="auto"/>
              <w:jc w:val="both"/>
              <w:rPr>
                <w:rFonts w:ascii="Arial" w:hAnsi="Arial" w:cs="Arial"/>
                <w:sz w:val="20"/>
                <w:szCs w:val="20"/>
              </w:rPr>
            </w:pPr>
            <w:r w:rsidRPr="00DB7E76">
              <w:rPr>
                <w:rFonts w:ascii="Arial" w:hAnsi="Arial" w:cs="Arial"/>
                <w:sz w:val="20"/>
                <w:szCs w:val="20"/>
              </w:rPr>
              <w:t>Para efecto de lo establecido en la Cuadragésima</w:t>
            </w:r>
            <w:r>
              <w:rPr>
                <w:rFonts w:ascii="Arial" w:hAnsi="Arial" w:cs="Arial"/>
                <w:sz w:val="20"/>
                <w:szCs w:val="20"/>
              </w:rPr>
              <w:t xml:space="preserve"> </w:t>
            </w:r>
            <w:r w:rsidRPr="00DB7E76">
              <w:rPr>
                <w:rFonts w:ascii="Arial" w:hAnsi="Arial" w:cs="Arial"/>
                <w:sz w:val="20"/>
                <w:szCs w:val="20"/>
              </w:rPr>
              <w:t xml:space="preserve">Primera Disposición Complementaria Final </w:t>
            </w:r>
            <w:r w:rsidR="00792B9A">
              <w:rPr>
                <w:rFonts w:ascii="Arial" w:hAnsi="Arial" w:cs="Arial"/>
                <w:sz w:val="20"/>
                <w:szCs w:val="20"/>
              </w:rPr>
              <w:t>citada, se entiende</w:t>
            </w:r>
            <w:r w:rsidRPr="00DB7E76">
              <w:rPr>
                <w:rFonts w:ascii="Arial" w:hAnsi="Arial" w:cs="Arial"/>
                <w:sz w:val="20"/>
                <w:szCs w:val="20"/>
              </w:rPr>
              <w:t xml:space="preserve"> que el porcentaje al que</w:t>
            </w:r>
            <w:r>
              <w:rPr>
                <w:rFonts w:ascii="Arial" w:hAnsi="Arial" w:cs="Arial"/>
                <w:sz w:val="20"/>
                <w:szCs w:val="20"/>
              </w:rPr>
              <w:t xml:space="preserve"> </w:t>
            </w:r>
            <w:r w:rsidRPr="00DB7E76">
              <w:rPr>
                <w:rFonts w:ascii="Arial" w:hAnsi="Arial" w:cs="Arial"/>
                <w:sz w:val="20"/>
                <w:szCs w:val="20"/>
              </w:rPr>
              <w:t>se refiere el segundo párrafo de dicha Disposición se</w:t>
            </w:r>
            <w:r>
              <w:rPr>
                <w:rFonts w:ascii="Arial" w:hAnsi="Arial" w:cs="Arial"/>
                <w:sz w:val="20"/>
                <w:szCs w:val="20"/>
              </w:rPr>
              <w:t xml:space="preserve"> </w:t>
            </w:r>
            <w:r w:rsidRPr="00DB7E76">
              <w:rPr>
                <w:rFonts w:ascii="Arial" w:hAnsi="Arial" w:cs="Arial"/>
                <w:sz w:val="20"/>
                <w:szCs w:val="20"/>
              </w:rPr>
              <w:t>calculará sobre la base del monto neto total que mensual</w:t>
            </w:r>
            <w:r>
              <w:rPr>
                <w:rFonts w:ascii="Arial" w:hAnsi="Arial" w:cs="Arial"/>
                <w:sz w:val="20"/>
                <w:szCs w:val="20"/>
              </w:rPr>
              <w:t xml:space="preserve"> </w:t>
            </w:r>
            <w:r w:rsidRPr="00DB7E76">
              <w:rPr>
                <w:rFonts w:ascii="Arial" w:hAnsi="Arial" w:cs="Arial"/>
                <w:sz w:val="20"/>
                <w:szCs w:val="20"/>
              </w:rPr>
              <w:t>y permanentemente perciba el servidor o cesante</w:t>
            </w:r>
            <w:r>
              <w:rPr>
                <w:rFonts w:ascii="Arial" w:hAnsi="Arial" w:cs="Arial"/>
                <w:sz w:val="20"/>
                <w:szCs w:val="20"/>
              </w:rPr>
              <w:t xml:space="preserve"> </w:t>
            </w:r>
            <w:r w:rsidRPr="00DB7E76">
              <w:rPr>
                <w:rFonts w:ascii="Arial" w:hAnsi="Arial" w:cs="Arial"/>
                <w:sz w:val="20"/>
                <w:szCs w:val="20"/>
              </w:rPr>
              <w:t>y que constituya ingreso de su libre disponibilidad,</w:t>
            </w:r>
            <w:r>
              <w:rPr>
                <w:rFonts w:ascii="Arial" w:hAnsi="Arial" w:cs="Arial"/>
                <w:sz w:val="20"/>
                <w:szCs w:val="20"/>
              </w:rPr>
              <w:t xml:space="preserve"> </w:t>
            </w:r>
            <w:r w:rsidRPr="00DB7E76">
              <w:rPr>
                <w:rFonts w:ascii="Arial" w:hAnsi="Arial" w:cs="Arial"/>
                <w:sz w:val="20"/>
                <w:szCs w:val="20"/>
              </w:rPr>
              <w:t>independientemente de la naturaleza de los conceptos</w:t>
            </w:r>
            <w:r>
              <w:rPr>
                <w:rFonts w:ascii="Arial" w:hAnsi="Arial" w:cs="Arial"/>
                <w:sz w:val="20"/>
                <w:szCs w:val="20"/>
              </w:rPr>
              <w:t xml:space="preserve"> </w:t>
            </w:r>
            <w:r w:rsidRPr="00DB7E76">
              <w:rPr>
                <w:rFonts w:ascii="Arial" w:hAnsi="Arial" w:cs="Arial"/>
                <w:sz w:val="20"/>
                <w:szCs w:val="20"/>
              </w:rPr>
              <w:t>que dicho monto pudiera comprender.</w:t>
            </w:r>
          </w:p>
          <w:p w:rsidR="00DB7E76" w:rsidRDefault="00DB7E76" w:rsidP="00EA3E27">
            <w:pPr>
              <w:pStyle w:val="Prrafodelista"/>
              <w:autoSpaceDE w:val="0"/>
              <w:autoSpaceDN w:val="0"/>
              <w:adjustRightInd w:val="0"/>
              <w:spacing w:line="276" w:lineRule="auto"/>
              <w:ind w:left="360"/>
              <w:jc w:val="both"/>
              <w:rPr>
                <w:rFonts w:ascii="Arial" w:hAnsi="Arial" w:cs="Arial"/>
                <w:sz w:val="20"/>
                <w:szCs w:val="20"/>
              </w:rPr>
            </w:pPr>
          </w:p>
          <w:p w:rsidR="00792B9A" w:rsidRDefault="00DB7E76" w:rsidP="00EA3E27">
            <w:pPr>
              <w:pStyle w:val="Prrafodelista"/>
              <w:autoSpaceDE w:val="0"/>
              <w:autoSpaceDN w:val="0"/>
              <w:adjustRightInd w:val="0"/>
              <w:spacing w:line="276" w:lineRule="auto"/>
              <w:ind w:left="360"/>
              <w:jc w:val="both"/>
              <w:rPr>
                <w:rFonts w:ascii="Arial" w:hAnsi="Arial" w:cs="Arial"/>
                <w:sz w:val="20"/>
                <w:szCs w:val="20"/>
              </w:rPr>
            </w:pPr>
            <w:r w:rsidRPr="00DB7E76">
              <w:rPr>
                <w:rFonts w:ascii="Arial" w:hAnsi="Arial" w:cs="Arial"/>
                <w:sz w:val="20"/>
                <w:szCs w:val="20"/>
              </w:rPr>
              <w:t xml:space="preserve">Se entiende por </w:t>
            </w:r>
            <w:r w:rsidRPr="002B6081">
              <w:rPr>
                <w:rFonts w:ascii="Arial" w:hAnsi="Arial" w:cs="Arial"/>
                <w:sz w:val="20"/>
                <w:szCs w:val="20"/>
                <w:u w:val="single"/>
              </w:rPr>
              <w:t>monto neto</w:t>
            </w:r>
            <w:r w:rsidRPr="00DB7E76">
              <w:rPr>
                <w:rFonts w:ascii="Arial" w:hAnsi="Arial" w:cs="Arial"/>
                <w:sz w:val="20"/>
                <w:szCs w:val="20"/>
              </w:rPr>
              <w:t xml:space="preserve"> el que resulta luego de desc</w:t>
            </w:r>
            <w:r>
              <w:rPr>
                <w:rFonts w:ascii="Arial" w:hAnsi="Arial" w:cs="Arial"/>
                <w:sz w:val="20"/>
                <w:szCs w:val="20"/>
              </w:rPr>
              <w:t xml:space="preserve">ontar, </w:t>
            </w:r>
            <w:r w:rsidRPr="00DB7E76">
              <w:rPr>
                <w:rFonts w:ascii="Arial" w:hAnsi="Arial" w:cs="Arial"/>
                <w:sz w:val="20"/>
                <w:szCs w:val="20"/>
              </w:rPr>
              <w:t xml:space="preserve">los montos derivados de mandatos judiciales </w:t>
            </w:r>
            <w:r>
              <w:rPr>
                <w:rFonts w:ascii="Arial" w:hAnsi="Arial" w:cs="Arial"/>
                <w:sz w:val="20"/>
                <w:szCs w:val="20"/>
              </w:rPr>
              <w:t xml:space="preserve">o legales </w:t>
            </w:r>
            <w:r w:rsidRPr="00DB7E76">
              <w:rPr>
                <w:rFonts w:ascii="Arial" w:hAnsi="Arial" w:cs="Arial"/>
                <w:sz w:val="20"/>
                <w:szCs w:val="20"/>
              </w:rPr>
              <w:t>expresos.</w:t>
            </w:r>
            <w:r>
              <w:rPr>
                <w:rFonts w:ascii="Arial" w:hAnsi="Arial" w:cs="Arial"/>
                <w:sz w:val="20"/>
                <w:szCs w:val="20"/>
              </w:rPr>
              <w:t xml:space="preserve"> </w:t>
            </w:r>
          </w:p>
          <w:p w:rsidR="00792B9A" w:rsidRDefault="00792B9A" w:rsidP="00EA3E27">
            <w:pPr>
              <w:pStyle w:val="Prrafodelista"/>
              <w:autoSpaceDE w:val="0"/>
              <w:autoSpaceDN w:val="0"/>
              <w:adjustRightInd w:val="0"/>
              <w:spacing w:line="276" w:lineRule="auto"/>
              <w:ind w:left="360"/>
              <w:jc w:val="both"/>
              <w:rPr>
                <w:rFonts w:ascii="Arial" w:hAnsi="Arial" w:cs="Arial"/>
                <w:sz w:val="20"/>
                <w:szCs w:val="20"/>
              </w:rPr>
            </w:pPr>
          </w:p>
          <w:p w:rsidR="00792B9A" w:rsidRPr="00792B9A" w:rsidRDefault="00792B9A" w:rsidP="00EA3E27">
            <w:pPr>
              <w:pStyle w:val="Prrafodelista"/>
              <w:autoSpaceDE w:val="0"/>
              <w:autoSpaceDN w:val="0"/>
              <w:adjustRightInd w:val="0"/>
              <w:spacing w:line="276" w:lineRule="auto"/>
              <w:ind w:left="360"/>
              <w:jc w:val="both"/>
              <w:rPr>
                <w:rFonts w:ascii="Arial" w:hAnsi="Arial" w:cs="Arial"/>
                <w:sz w:val="20"/>
                <w:szCs w:val="20"/>
              </w:rPr>
            </w:pPr>
            <w:r>
              <w:rPr>
                <w:rFonts w:ascii="Arial" w:hAnsi="Arial" w:cs="Arial"/>
                <w:sz w:val="20"/>
                <w:szCs w:val="20"/>
              </w:rPr>
              <w:t>L</w:t>
            </w:r>
            <w:r w:rsidRPr="00792B9A">
              <w:rPr>
                <w:rFonts w:ascii="Arial" w:hAnsi="Arial" w:cs="Arial"/>
                <w:sz w:val="20"/>
                <w:szCs w:val="20"/>
              </w:rPr>
              <w:t>as sumas que el servidor</w:t>
            </w:r>
            <w:r>
              <w:rPr>
                <w:rFonts w:ascii="Arial" w:hAnsi="Arial" w:cs="Arial"/>
                <w:sz w:val="20"/>
                <w:szCs w:val="20"/>
              </w:rPr>
              <w:t xml:space="preserve"> </w:t>
            </w:r>
            <w:r w:rsidRPr="00792B9A">
              <w:rPr>
                <w:rFonts w:ascii="Arial" w:hAnsi="Arial" w:cs="Arial"/>
                <w:sz w:val="20"/>
                <w:szCs w:val="20"/>
              </w:rPr>
              <w:t>perciba del CAFAE, por concepto de incentivo único,</w:t>
            </w:r>
            <w:r>
              <w:rPr>
                <w:rFonts w:ascii="Arial" w:hAnsi="Arial" w:cs="Arial"/>
                <w:sz w:val="20"/>
                <w:szCs w:val="20"/>
              </w:rPr>
              <w:t xml:space="preserve"> </w:t>
            </w:r>
            <w:r w:rsidRPr="00792B9A">
              <w:rPr>
                <w:rFonts w:ascii="Arial" w:hAnsi="Arial" w:cs="Arial"/>
                <w:sz w:val="20"/>
                <w:szCs w:val="20"/>
              </w:rPr>
              <w:t>se entienden incluidas dentro de la referida base de</w:t>
            </w:r>
            <w:r>
              <w:rPr>
                <w:rFonts w:ascii="Arial" w:hAnsi="Arial" w:cs="Arial"/>
                <w:sz w:val="20"/>
                <w:szCs w:val="20"/>
              </w:rPr>
              <w:t xml:space="preserve"> </w:t>
            </w:r>
            <w:r w:rsidRPr="00792B9A">
              <w:rPr>
                <w:rFonts w:ascii="Arial" w:hAnsi="Arial" w:cs="Arial"/>
                <w:sz w:val="20"/>
                <w:szCs w:val="20"/>
              </w:rPr>
              <w:t>cálculo.</w:t>
            </w:r>
          </w:p>
          <w:p w:rsidR="00DB7E76" w:rsidRPr="000C3302" w:rsidRDefault="00DB7E76" w:rsidP="00EA3E27">
            <w:pPr>
              <w:autoSpaceDE w:val="0"/>
              <w:autoSpaceDN w:val="0"/>
              <w:adjustRightInd w:val="0"/>
              <w:spacing w:line="276" w:lineRule="auto"/>
              <w:jc w:val="both"/>
              <w:rPr>
                <w:rFonts w:ascii="Arial" w:hAnsi="Arial" w:cs="Arial"/>
                <w:sz w:val="20"/>
                <w:szCs w:val="20"/>
              </w:rPr>
            </w:pPr>
          </w:p>
          <w:p w:rsidR="00DB7E76" w:rsidRDefault="00DB7E76" w:rsidP="00EA3E27">
            <w:pPr>
              <w:pStyle w:val="Prrafodelista"/>
              <w:autoSpaceDE w:val="0"/>
              <w:autoSpaceDN w:val="0"/>
              <w:adjustRightInd w:val="0"/>
              <w:spacing w:line="276" w:lineRule="auto"/>
              <w:ind w:left="360"/>
              <w:jc w:val="both"/>
              <w:rPr>
                <w:rFonts w:ascii="Arial" w:hAnsi="Arial" w:cs="Arial"/>
                <w:sz w:val="20"/>
                <w:szCs w:val="20"/>
              </w:rPr>
            </w:pPr>
            <w:r w:rsidRPr="00DB7E76">
              <w:rPr>
                <w:rFonts w:ascii="Arial" w:hAnsi="Arial" w:cs="Arial"/>
                <w:sz w:val="20"/>
                <w:szCs w:val="20"/>
              </w:rPr>
              <w:t xml:space="preserve">La afectación de la planilla para la atención de las </w:t>
            </w:r>
            <w:r>
              <w:rPr>
                <w:rFonts w:ascii="Arial" w:hAnsi="Arial" w:cs="Arial"/>
                <w:sz w:val="20"/>
                <w:szCs w:val="20"/>
              </w:rPr>
              <w:t xml:space="preserve">solicitudes </w:t>
            </w:r>
            <w:r w:rsidRPr="00DB7E76">
              <w:rPr>
                <w:rFonts w:ascii="Arial" w:hAnsi="Arial" w:cs="Arial"/>
                <w:sz w:val="20"/>
                <w:szCs w:val="20"/>
              </w:rPr>
              <w:t xml:space="preserve">formuladas por los servidores o cesantes al </w:t>
            </w:r>
            <w:r>
              <w:rPr>
                <w:rFonts w:ascii="Arial" w:hAnsi="Arial" w:cs="Arial"/>
                <w:sz w:val="20"/>
                <w:szCs w:val="20"/>
              </w:rPr>
              <w:t xml:space="preserve">amparo de lo </w:t>
            </w:r>
            <w:r w:rsidRPr="00DB7E76">
              <w:rPr>
                <w:rFonts w:ascii="Arial" w:hAnsi="Arial" w:cs="Arial"/>
                <w:sz w:val="20"/>
                <w:szCs w:val="20"/>
              </w:rPr>
              <w:t xml:space="preserve">establecido en la referida </w:t>
            </w:r>
            <w:r>
              <w:rPr>
                <w:rFonts w:ascii="Arial" w:hAnsi="Arial" w:cs="Arial"/>
                <w:sz w:val="20"/>
                <w:szCs w:val="20"/>
              </w:rPr>
              <w:t xml:space="preserve">Disposición </w:t>
            </w:r>
            <w:r w:rsidRPr="00DB7E76">
              <w:rPr>
                <w:rFonts w:ascii="Arial" w:hAnsi="Arial" w:cs="Arial"/>
                <w:sz w:val="20"/>
                <w:szCs w:val="20"/>
              </w:rPr>
              <w:t>C</w:t>
            </w:r>
            <w:r>
              <w:rPr>
                <w:rFonts w:ascii="Arial" w:hAnsi="Arial" w:cs="Arial"/>
                <w:sz w:val="20"/>
                <w:szCs w:val="20"/>
              </w:rPr>
              <w:t xml:space="preserve">omplementaria Final, no podrá afectar, en </w:t>
            </w:r>
            <w:r w:rsidRPr="00DB7E76">
              <w:rPr>
                <w:rFonts w:ascii="Arial" w:hAnsi="Arial" w:cs="Arial"/>
                <w:sz w:val="20"/>
                <w:szCs w:val="20"/>
              </w:rPr>
              <w:t>ningún caso, los montos que pudieran estos percibir de man</w:t>
            </w:r>
            <w:r w:rsidR="00302124">
              <w:rPr>
                <w:rFonts w:ascii="Arial" w:hAnsi="Arial" w:cs="Arial"/>
                <w:sz w:val="20"/>
                <w:szCs w:val="20"/>
              </w:rPr>
              <w:t xml:space="preserve">era ocasional o eventual, </w:t>
            </w:r>
            <w:r w:rsidRPr="00DB7E76">
              <w:rPr>
                <w:rFonts w:ascii="Arial" w:hAnsi="Arial" w:cs="Arial"/>
                <w:sz w:val="20"/>
                <w:szCs w:val="20"/>
              </w:rPr>
              <w:t>como aguinaldos, gratificaciones o conceptos de naturale</w:t>
            </w:r>
            <w:r>
              <w:rPr>
                <w:rFonts w:ascii="Arial" w:hAnsi="Arial" w:cs="Arial"/>
                <w:sz w:val="20"/>
                <w:szCs w:val="20"/>
              </w:rPr>
              <w:t xml:space="preserve">za similar. Dichos montos no se </w:t>
            </w:r>
            <w:r w:rsidRPr="00DB7E76">
              <w:rPr>
                <w:rFonts w:ascii="Arial" w:hAnsi="Arial" w:cs="Arial"/>
                <w:sz w:val="20"/>
                <w:szCs w:val="20"/>
              </w:rPr>
              <w:t>considerarán para la determinación de la base de cálculo.</w:t>
            </w:r>
          </w:p>
          <w:p w:rsidR="000C3302" w:rsidRDefault="000C3302" w:rsidP="00EA3E27">
            <w:pPr>
              <w:pStyle w:val="Prrafodelista"/>
              <w:autoSpaceDE w:val="0"/>
              <w:autoSpaceDN w:val="0"/>
              <w:adjustRightInd w:val="0"/>
              <w:spacing w:line="276" w:lineRule="auto"/>
              <w:ind w:left="360"/>
              <w:jc w:val="both"/>
              <w:rPr>
                <w:rFonts w:ascii="Arial" w:hAnsi="Arial" w:cs="Arial"/>
                <w:sz w:val="20"/>
                <w:szCs w:val="20"/>
              </w:rPr>
            </w:pPr>
          </w:p>
          <w:p w:rsidR="000C3302" w:rsidRDefault="000C3302" w:rsidP="00EA3E27">
            <w:pPr>
              <w:pStyle w:val="Prrafodelista"/>
              <w:numPr>
                <w:ilvl w:val="0"/>
                <w:numId w:val="4"/>
              </w:numPr>
              <w:autoSpaceDE w:val="0"/>
              <w:autoSpaceDN w:val="0"/>
              <w:adjustRightInd w:val="0"/>
              <w:spacing w:line="276" w:lineRule="auto"/>
              <w:jc w:val="both"/>
              <w:rPr>
                <w:rFonts w:ascii="Arial" w:hAnsi="Arial" w:cs="Arial"/>
                <w:sz w:val="20"/>
                <w:szCs w:val="20"/>
              </w:rPr>
            </w:pPr>
            <w:r w:rsidRPr="002B6081">
              <w:rPr>
                <w:rFonts w:ascii="Arial" w:hAnsi="Arial" w:cs="Arial"/>
                <w:b/>
                <w:sz w:val="20"/>
                <w:szCs w:val="20"/>
              </w:rPr>
              <w:t>El servidor o cesante podrá solicitar la afectación de la planilla única de pagos sólo para efectuar, a través de ella, el pago de obligaciones asumidas por dicho servidor o cesante con aquellos Fondos de bienestar y entidades supervisadas y/o reguladas por la SBS incluidos en los registros a los que se refiere la Primera Disposición Complementaria y Final de estas normas reglamentarias.</w:t>
            </w:r>
            <w:r>
              <w:rPr>
                <w:rFonts w:ascii="Arial" w:hAnsi="Arial" w:cs="Arial"/>
                <w:sz w:val="20"/>
                <w:szCs w:val="20"/>
              </w:rPr>
              <w:t xml:space="preserve"> </w:t>
            </w:r>
            <w:r w:rsidRPr="000C3302">
              <w:rPr>
                <w:rFonts w:ascii="Arial" w:hAnsi="Arial" w:cs="Arial"/>
                <w:sz w:val="20"/>
                <w:szCs w:val="20"/>
              </w:rPr>
              <w:t>En el caso de los Fondos de bienestar, la afectación</w:t>
            </w:r>
            <w:r>
              <w:rPr>
                <w:rFonts w:ascii="Arial" w:hAnsi="Arial" w:cs="Arial"/>
                <w:sz w:val="20"/>
                <w:szCs w:val="20"/>
              </w:rPr>
              <w:t xml:space="preserve"> </w:t>
            </w:r>
            <w:r w:rsidRPr="000C3302">
              <w:rPr>
                <w:rFonts w:ascii="Arial" w:hAnsi="Arial" w:cs="Arial"/>
                <w:sz w:val="20"/>
                <w:szCs w:val="20"/>
              </w:rPr>
              <w:t>procederá únicamente para la atención de obligaciones</w:t>
            </w:r>
            <w:r>
              <w:rPr>
                <w:rFonts w:ascii="Arial" w:hAnsi="Arial" w:cs="Arial"/>
                <w:sz w:val="20"/>
                <w:szCs w:val="20"/>
              </w:rPr>
              <w:t xml:space="preserve"> </w:t>
            </w:r>
            <w:r w:rsidRPr="000C3302">
              <w:rPr>
                <w:rFonts w:ascii="Arial" w:hAnsi="Arial" w:cs="Arial"/>
                <w:sz w:val="20"/>
                <w:szCs w:val="20"/>
              </w:rPr>
              <w:t>del servidor o cesante vinculados a los conce</w:t>
            </w:r>
            <w:r>
              <w:rPr>
                <w:rFonts w:ascii="Arial" w:hAnsi="Arial" w:cs="Arial"/>
                <w:sz w:val="20"/>
                <w:szCs w:val="20"/>
              </w:rPr>
              <w:t xml:space="preserve">ptos </w:t>
            </w:r>
            <w:r w:rsidR="006F2C13">
              <w:rPr>
                <w:rFonts w:ascii="Arial" w:hAnsi="Arial" w:cs="Arial"/>
                <w:sz w:val="20"/>
                <w:szCs w:val="20"/>
              </w:rPr>
              <w:t>de</w:t>
            </w:r>
            <w:r w:rsidRPr="000C3302">
              <w:rPr>
                <w:rFonts w:ascii="Arial" w:hAnsi="Arial" w:cs="Arial"/>
                <w:sz w:val="20"/>
                <w:szCs w:val="20"/>
              </w:rPr>
              <w:t xml:space="preserve"> alimentación, salud, vivienda, educación, sepelio o esparcimiento.</w:t>
            </w:r>
          </w:p>
          <w:p w:rsidR="00C32839" w:rsidRDefault="00C32839" w:rsidP="00EA3E27">
            <w:pPr>
              <w:autoSpaceDE w:val="0"/>
              <w:autoSpaceDN w:val="0"/>
              <w:adjustRightInd w:val="0"/>
              <w:spacing w:line="276" w:lineRule="auto"/>
              <w:jc w:val="both"/>
              <w:rPr>
                <w:rFonts w:ascii="Arial" w:hAnsi="Arial" w:cs="Arial"/>
                <w:sz w:val="20"/>
                <w:szCs w:val="20"/>
              </w:rPr>
            </w:pPr>
          </w:p>
          <w:p w:rsidR="00C32839" w:rsidRDefault="00C32839" w:rsidP="00EA3E27">
            <w:pPr>
              <w:pStyle w:val="Prrafodelista"/>
              <w:numPr>
                <w:ilvl w:val="0"/>
                <w:numId w:val="4"/>
              </w:numPr>
              <w:autoSpaceDE w:val="0"/>
              <w:autoSpaceDN w:val="0"/>
              <w:adjustRightInd w:val="0"/>
              <w:spacing w:line="276" w:lineRule="auto"/>
              <w:jc w:val="both"/>
              <w:rPr>
                <w:rFonts w:ascii="Arial" w:hAnsi="Arial" w:cs="Arial"/>
                <w:sz w:val="20"/>
                <w:szCs w:val="20"/>
              </w:rPr>
            </w:pPr>
            <w:r>
              <w:rPr>
                <w:rFonts w:ascii="Arial" w:hAnsi="Arial" w:cs="Arial"/>
                <w:sz w:val="20"/>
                <w:szCs w:val="20"/>
              </w:rPr>
              <w:t>Respecto al orden de p</w:t>
            </w:r>
            <w:r w:rsidRPr="00C32839">
              <w:rPr>
                <w:rFonts w:ascii="Arial" w:hAnsi="Arial" w:cs="Arial"/>
                <w:sz w:val="20"/>
                <w:szCs w:val="20"/>
              </w:rPr>
              <w:t>relación</w:t>
            </w:r>
            <w:r>
              <w:rPr>
                <w:rFonts w:ascii="Arial" w:hAnsi="Arial" w:cs="Arial"/>
                <w:sz w:val="20"/>
                <w:szCs w:val="20"/>
              </w:rPr>
              <w:t>, a</w:t>
            </w:r>
            <w:r w:rsidRPr="00C32839">
              <w:rPr>
                <w:rFonts w:ascii="Arial" w:hAnsi="Arial" w:cs="Arial"/>
                <w:sz w:val="20"/>
                <w:szCs w:val="20"/>
              </w:rPr>
              <w:t>l momento de efectuar la afectación de la planilla</w:t>
            </w:r>
            <w:r>
              <w:rPr>
                <w:rFonts w:ascii="Arial" w:hAnsi="Arial" w:cs="Arial"/>
                <w:sz w:val="20"/>
                <w:szCs w:val="20"/>
              </w:rPr>
              <w:t xml:space="preserve"> </w:t>
            </w:r>
            <w:r w:rsidRPr="00C32839">
              <w:rPr>
                <w:rFonts w:ascii="Arial" w:hAnsi="Arial" w:cs="Arial"/>
                <w:sz w:val="20"/>
                <w:szCs w:val="20"/>
              </w:rPr>
              <w:t>única de pagos solicitada por el servidor o cesante, la</w:t>
            </w:r>
            <w:r>
              <w:rPr>
                <w:rFonts w:ascii="Arial" w:hAnsi="Arial" w:cs="Arial"/>
                <w:sz w:val="20"/>
                <w:szCs w:val="20"/>
              </w:rPr>
              <w:t xml:space="preserve"> </w:t>
            </w:r>
            <w:r w:rsidRPr="00C32839">
              <w:rPr>
                <w:rFonts w:ascii="Arial" w:hAnsi="Arial" w:cs="Arial"/>
                <w:sz w:val="20"/>
                <w:szCs w:val="20"/>
              </w:rPr>
              <w:t>entidad considerará, en primer término, aquella que tuviera</w:t>
            </w:r>
            <w:r>
              <w:rPr>
                <w:rFonts w:ascii="Arial" w:hAnsi="Arial" w:cs="Arial"/>
                <w:sz w:val="20"/>
                <w:szCs w:val="20"/>
              </w:rPr>
              <w:t xml:space="preserve"> </w:t>
            </w:r>
            <w:r w:rsidRPr="00C32839">
              <w:rPr>
                <w:rFonts w:ascii="Arial" w:hAnsi="Arial" w:cs="Arial"/>
                <w:sz w:val="20"/>
                <w:szCs w:val="20"/>
              </w:rPr>
              <w:t>relación con la atención de las obligaciones asumidas por</w:t>
            </w:r>
            <w:r>
              <w:rPr>
                <w:rFonts w:ascii="Arial" w:hAnsi="Arial" w:cs="Arial"/>
                <w:sz w:val="20"/>
                <w:szCs w:val="20"/>
              </w:rPr>
              <w:t xml:space="preserve"> </w:t>
            </w:r>
            <w:r w:rsidRPr="00C32839">
              <w:rPr>
                <w:rFonts w:ascii="Arial" w:hAnsi="Arial" w:cs="Arial"/>
                <w:sz w:val="20"/>
                <w:szCs w:val="20"/>
              </w:rPr>
              <w:t>estos frente a los Fondos de bienestar y, sólo después,</w:t>
            </w:r>
            <w:r>
              <w:rPr>
                <w:rFonts w:ascii="Arial" w:hAnsi="Arial" w:cs="Arial"/>
                <w:sz w:val="20"/>
                <w:szCs w:val="20"/>
              </w:rPr>
              <w:t xml:space="preserve"> </w:t>
            </w:r>
            <w:r w:rsidRPr="00C32839">
              <w:rPr>
                <w:rFonts w:ascii="Arial" w:hAnsi="Arial" w:cs="Arial"/>
                <w:sz w:val="20"/>
                <w:szCs w:val="20"/>
              </w:rPr>
              <w:t>podrá considerar las relacionadas con créditos otorgados</w:t>
            </w:r>
            <w:r>
              <w:rPr>
                <w:rFonts w:ascii="Arial" w:hAnsi="Arial" w:cs="Arial"/>
                <w:sz w:val="20"/>
                <w:szCs w:val="20"/>
              </w:rPr>
              <w:t xml:space="preserve"> </w:t>
            </w:r>
            <w:r w:rsidRPr="00C32839">
              <w:rPr>
                <w:rFonts w:ascii="Arial" w:hAnsi="Arial" w:cs="Arial"/>
                <w:sz w:val="20"/>
                <w:szCs w:val="20"/>
              </w:rPr>
              <w:t>por las entidades supervisadas y/o reguladas por la</w:t>
            </w:r>
            <w:r>
              <w:rPr>
                <w:rFonts w:ascii="Arial" w:hAnsi="Arial" w:cs="Arial"/>
                <w:sz w:val="20"/>
                <w:szCs w:val="20"/>
              </w:rPr>
              <w:t xml:space="preserve"> </w:t>
            </w:r>
            <w:r w:rsidR="00302124">
              <w:rPr>
                <w:rFonts w:ascii="Arial" w:hAnsi="Arial" w:cs="Arial"/>
                <w:sz w:val="20"/>
                <w:szCs w:val="20"/>
              </w:rPr>
              <w:t>SBS</w:t>
            </w:r>
            <w:r w:rsidRPr="00C32839">
              <w:rPr>
                <w:rFonts w:ascii="Arial" w:hAnsi="Arial" w:cs="Arial"/>
                <w:sz w:val="20"/>
                <w:szCs w:val="20"/>
              </w:rPr>
              <w:t>.</w:t>
            </w:r>
          </w:p>
          <w:p w:rsidR="00C32839" w:rsidRPr="00C32839" w:rsidRDefault="00C32839" w:rsidP="00EA3E27">
            <w:pPr>
              <w:pStyle w:val="Prrafodelista"/>
              <w:spacing w:line="276" w:lineRule="auto"/>
              <w:jc w:val="both"/>
              <w:rPr>
                <w:rFonts w:ascii="Arial" w:hAnsi="Arial" w:cs="Arial"/>
                <w:sz w:val="20"/>
                <w:szCs w:val="20"/>
              </w:rPr>
            </w:pPr>
          </w:p>
          <w:p w:rsidR="00C32839" w:rsidRPr="002B6081" w:rsidRDefault="00C32839" w:rsidP="00EA3E27">
            <w:pPr>
              <w:pStyle w:val="Prrafodelista"/>
              <w:numPr>
                <w:ilvl w:val="0"/>
                <w:numId w:val="4"/>
              </w:numPr>
              <w:autoSpaceDE w:val="0"/>
              <w:autoSpaceDN w:val="0"/>
              <w:adjustRightInd w:val="0"/>
              <w:spacing w:line="276" w:lineRule="auto"/>
              <w:jc w:val="both"/>
              <w:rPr>
                <w:rFonts w:ascii="Arial" w:hAnsi="Arial" w:cs="Arial"/>
                <w:b/>
                <w:sz w:val="20"/>
                <w:szCs w:val="20"/>
              </w:rPr>
            </w:pPr>
            <w:r w:rsidRPr="002B6081">
              <w:rPr>
                <w:rFonts w:ascii="Arial" w:hAnsi="Arial" w:cs="Arial"/>
                <w:b/>
                <w:sz w:val="20"/>
                <w:szCs w:val="20"/>
              </w:rPr>
              <w:t>La afectación a la planilla se hará considerando que el descuento a efectuar al servidor o cesante por este concepto sea por un monto tal que no impida que éste reciba cuando menos el 50% del monto neto que mensual y permanentemente le correspondería percibir.</w:t>
            </w:r>
          </w:p>
          <w:p w:rsidR="00C32839" w:rsidRPr="00C32839" w:rsidRDefault="00C32839" w:rsidP="00EA3E27">
            <w:pPr>
              <w:pStyle w:val="Prrafodelista"/>
              <w:spacing w:line="276" w:lineRule="auto"/>
              <w:jc w:val="both"/>
              <w:rPr>
                <w:rFonts w:ascii="Arial" w:hAnsi="Arial" w:cs="Arial"/>
                <w:sz w:val="20"/>
                <w:szCs w:val="20"/>
              </w:rPr>
            </w:pPr>
          </w:p>
          <w:p w:rsidR="00C32839" w:rsidRPr="002B6081" w:rsidRDefault="00C32839" w:rsidP="00EA3E27">
            <w:pPr>
              <w:pStyle w:val="Prrafodelista"/>
              <w:autoSpaceDE w:val="0"/>
              <w:autoSpaceDN w:val="0"/>
              <w:adjustRightInd w:val="0"/>
              <w:spacing w:line="276" w:lineRule="auto"/>
              <w:ind w:left="360"/>
              <w:jc w:val="both"/>
              <w:rPr>
                <w:rFonts w:ascii="Arial" w:hAnsi="Arial" w:cs="Arial"/>
                <w:b/>
                <w:sz w:val="20"/>
                <w:szCs w:val="20"/>
              </w:rPr>
            </w:pPr>
            <w:r w:rsidRPr="00C32839">
              <w:rPr>
                <w:rFonts w:ascii="Arial" w:hAnsi="Arial" w:cs="Arial"/>
                <w:sz w:val="20"/>
                <w:szCs w:val="20"/>
              </w:rPr>
              <w:t>Si durante la vigencia del período de afectación</w:t>
            </w:r>
            <w:r>
              <w:rPr>
                <w:rFonts w:ascii="Arial" w:hAnsi="Arial" w:cs="Arial"/>
                <w:sz w:val="20"/>
                <w:szCs w:val="20"/>
              </w:rPr>
              <w:t xml:space="preserve"> </w:t>
            </w:r>
            <w:r w:rsidRPr="00C32839">
              <w:rPr>
                <w:rFonts w:ascii="Arial" w:hAnsi="Arial" w:cs="Arial"/>
                <w:sz w:val="20"/>
                <w:szCs w:val="20"/>
              </w:rPr>
              <w:t>autorizado por el servidor o cesante dicho monto neto</w:t>
            </w:r>
            <w:r>
              <w:rPr>
                <w:rFonts w:ascii="Arial" w:hAnsi="Arial" w:cs="Arial"/>
                <w:sz w:val="20"/>
                <w:szCs w:val="20"/>
              </w:rPr>
              <w:t xml:space="preserve"> </w:t>
            </w:r>
            <w:r w:rsidRPr="00C32839">
              <w:rPr>
                <w:rFonts w:ascii="Arial" w:hAnsi="Arial" w:cs="Arial"/>
                <w:sz w:val="20"/>
                <w:szCs w:val="20"/>
              </w:rPr>
              <w:t>se viera reducido por efecto de un mayor descuento por</w:t>
            </w:r>
            <w:r>
              <w:rPr>
                <w:rFonts w:ascii="Arial" w:hAnsi="Arial" w:cs="Arial"/>
                <w:sz w:val="20"/>
                <w:szCs w:val="20"/>
              </w:rPr>
              <w:t xml:space="preserve"> </w:t>
            </w:r>
            <w:r w:rsidRPr="00C32839">
              <w:rPr>
                <w:rFonts w:ascii="Arial" w:hAnsi="Arial" w:cs="Arial"/>
                <w:sz w:val="20"/>
                <w:szCs w:val="20"/>
              </w:rPr>
              <w:t>mandato legal o j</w:t>
            </w:r>
            <w:r>
              <w:rPr>
                <w:rFonts w:ascii="Arial" w:hAnsi="Arial" w:cs="Arial"/>
                <w:sz w:val="20"/>
                <w:szCs w:val="20"/>
              </w:rPr>
              <w:t xml:space="preserve">udicial, el porcentaje señalado </w:t>
            </w:r>
            <w:r w:rsidRPr="002B6081">
              <w:rPr>
                <w:rFonts w:ascii="Arial" w:hAnsi="Arial" w:cs="Arial"/>
                <w:b/>
                <w:sz w:val="20"/>
                <w:szCs w:val="20"/>
              </w:rPr>
              <w:t>podrá reducirse al 40%.</w:t>
            </w:r>
          </w:p>
          <w:p w:rsidR="0011752F" w:rsidRDefault="0011752F" w:rsidP="00EA3E27">
            <w:pPr>
              <w:pStyle w:val="Prrafodelista"/>
              <w:autoSpaceDE w:val="0"/>
              <w:autoSpaceDN w:val="0"/>
              <w:adjustRightInd w:val="0"/>
              <w:spacing w:line="276" w:lineRule="auto"/>
              <w:ind w:left="360"/>
              <w:jc w:val="both"/>
              <w:rPr>
                <w:rFonts w:ascii="Arial" w:hAnsi="Arial" w:cs="Arial"/>
                <w:sz w:val="20"/>
                <w:szCs w:val="20"/>
              </w:rPr>
            </w:pPr>
          </w:p>
          <w:p w:rsidR="00EA1C3B" w:rsidRPr="002B6081" w:rsidRDefault="0011752F" w:rsidP="00EA3E27">
            <w:pPr>
              <w:pStyle w:val="Prrafodelista"/>
              <w:numPr>
                <w:ilvl w:val="0"/>
                <w:numId w:val="4"/>
              </w:numPr>
              <w:autoSpaceDE w:val="0"/>
              <w:autoSpaceDN w:val="0"/>
              <w:adjustRightInd w:val="0"/>
              <w:spacing w:line="276" w:lineRule="auto"/>
              <w:jc w:val="both"/>
              <w:rPr>
                <w:rFonts w:ascii="Arial" w:hAnsi="Arial" w:cs="Arial"/>
                <w:b/>
                <w:sz w:val="20"/>
                <w:szCs w:val="20"/>
              </w:rPr>
            </w:pPr>
            <w:r w:rsidRPr="002B6081">
              <w:rPr>
                <w:rFonts w:ascii="Arial" w:hAnsi="Arial" w:cs="Arial"/>
                <w:sz w:val="20"/>
                <w:szCs w:val="20"/>
                <w:u w:val="single"/>
              </w:rPr>
              <w:t>Sobre las afectaciones vigentes, la afectación de la planilla única de pago de las entidades del Sector Público por la amortización de los créditos desembolsados antes de la entrada en vigencia de la presente norma</w:t>
            </w:r>
            <w:r w:rsidRPr="0011752F">
              <w:rPr>
                <w:rFonts w:ascii="Arial" w:hAnsi="Arial" w:cs="Arial"/>
                <w:sz w:val="20"/>
                <w:szCs w:val="20"/>
              </w:rPr>
              <w:t xml:space="preserve">, </w:t>
            </w:r>
            <w:r w:rsidRPr="002B6081">
              <w:rPr>
                <w:rFonts w:ascii="Arial" w:hAnsi="Arial" w:cs="Arial"/>
                <w:b/>
                <w:sz w:val="20"/>
                <w:szCs w:val="20"/>
              </w:rPr>
              <w:t xml:space="preserve">seguirá efectuándose en los montos y condiciones solicitados y autorizados por el servidor o cesante. </w:t>
            </w:r>
          </w:p>
          <w:p w:rsidR="00EA1C3B" w:rsidRDefault="00EA1C3B" w:rsidP="00EA3E27">
            <w:pPr>
              <w:pStyle w:val="Prrafodelista"/>
              <w:autoSpaceDE w:val="0"/>
              <w:autoSpaceDN w:val="0"/>
              <w:adjustRightInd w:val="0"/>
              <w:spacing w:line="276" w:lineRule="auto"/>
              <w:ind w:left="360"/>
              <w:rPr>
                <w:rFonts w:ascii="Arial" w:hAnsi="Arial" w:cs="Arial"/>
                <w:sz w:val="20"/>
                <w:szCs w:val="20"/>
              </w:rPr>
            </w:pPr>
          </w:p>
          <w:p w:rsidR="00EA1C3B" w:rsidRDefault="0011752F" w:rsidP="00EA3E27">
            <w:pPr>
              <w:pStyle w:val="Prrafodelista"/>
              <w:autoSpaceDE w:val="0"/>
              <w:autoSpaceDN w:val="0"/>
              <w:adjustRightInd w:val="0"/>
              <w:spacing w:line="276" w:lineRule="auto"/>
              <w:ind w:left="360"/>
              <w:jc w:val="both"/>
              <w:rPr>
                <w:rFonts w:ascii="Arial" w:hAnsi="Arial" w:cs="Arial"/>
                <w:sz w:val="20"/>
                <w:szCs w:val="20"/>
              </w:rPr>
            </w:pPr>
            <w:r w:rsidRPr="0011752F">
              <w:rPr>
                <w:rFonts w:ascii="Arial" w:hAnsi="Arial" w:cs="Arial"/>
                <w:sz w:val="20"/>
                <w:szCs w:val="20"/>
              </w:rPr>
              <w:t>La entidad supervisada y/o regulada</w:t>
            </w:r>
            <w:r w:rsidR="00EA1C3B">
              <w:rPr>
                <w:rFonts w:ascii="Arial" w:hAnsi="Arial" w:cs="Arial"/>
                <w:sz w:val="20"/>
                <w:szCs w:val="20"/>
              </w:rPr>
              <w:t xml:space="preserve"> </w:t>
            </w:r>
            <w:r w:rsidRPr="00EA1C3B">
              <w:rPr>
                <w:rFonts w:ascii="Arial" w:hAnsi="Arial" w:cs="Arial"/>
                <w:sz w:val="20"/>
                <w:szCs w:val="20"/>
              </w:rPr>
              <w:t>por la SBS podrá ampliar el plazo de pago de los créditos antes mencionados, de acuerdo</w:t>
            </w:r>
            <w:r w:rsidR="00EA1C3B">
              <w:rPr>
                <w:rFonts w:ascii="Arial" w:hAnsi="Arial" w:cs="Arial"/>
                <w:sz w:val="20"/>
                <w:szCs w:val="20"/>
              </w:rPr>
              <w:t xml:space="preserve"> </w:t>
            </w:r>
            <w:r w:rsidRPr="0011752F">
              <w:rPr>
                <w:rFonts w:ascii="Arial" w:hAnsi="Arial" w:cs="Arial"/>
                <w:sz w:val="20"/>
                <w:szCs w:val="20"/>
              </w:rPr>
              <w:t xml:space="preserve">con lo pactado con el servidor o cesante y de conformidad con </w:t>
            </w:r>
            <w:r w:rsidR="002B6081" w:rsidRPr="0011752F">
              <w:rPr>
                <w:rFonts w:ascii="Arial" w:hAnsi="Arial" w:cs="Arial"/>
                <w:sz w:val="20"/>
                <w:szCs w:val="20"/>
              </w:rPr>
              <w:t>las disposiciones emitidas</w:t>
            </w:r>
            <w:r w:rsidRPr="0011752F">
              <w:rPr>
                <w:rFonts w:ascii="Arial" w:hAnsi="Arial" w:cs="Arial"/>
                <w:sz w:val="20"/>
                <w:szCs w:val="20"/>
              </w:rPr>
              <w:t xml:space="preserve"> por dicha Supe</w:t>
            </w:r>
            <w:r w:rsidR="00EA1C3B">
              <w:rPr>
                <w:rFonts w:ascii="Arial" w:hAnsi="Arial" w:cs="Arial"/>
                <w:sz w:val="20"/>
                <w:szCs w:val="20"/>
              </w:rPr>
              <w:t xml:space="preserve">rintendencia, siempre que dicha </w:t>
            </w:r>
            <w:r w:rsidRPr="0011752F">
              <w:rPr>
                <w:rFonts w:ascii="Arial" w:hAnsi="Arial" w:cs="Arial"/>
                <w:sz w:val="20"/>
                <w:szCs w:val="20"/>
              </w:rPr>
              <w:t>ampliación no incremente la carga financiera mensual del servidor o cesante. En este</w:t>
            </w:r>
            <w:r>
              <w:rPr>
                <w:rFonts w:ascii="Arial" w:hAnsi="Arial" w:cs="Arial"/>
                <w:sz w:val="20"/>
                <w:szCs w:val="20"/>
              </w:rPr>
              <w:t xml:space="preserve"> </w:t>
            </w:r>
            <w:r w:rsidRPr="0011752F">
              <w:rPr>
                <w:rFonts w:ascii="Arial" w:hAnsi="Arial" w:cs="Arial"/>
                <w:sz w:val="20"/>
                <w:szCs w:val="20"/>
              </w:rPr>
              <w:t>supuesto, el crédito mantendrá la prelación que tenía</w:t>
            </w:r>
            <w:r>
              <w:rPr>
                <w:rFonts w:ascii="Arial" w:hAnsi="Arial" w:cs="Arial"/>
                <w:sz w:val="20"/>
                <w:szCs w:val="20"/>
              </w:rPr>
              <w:t xml:space="preserve"> </w:t>
            </w:r>
            <w:r w:rsidRPr="0011752F">
              <w:rPr>
                <w:rFonts w:ascii="Arial" w:hAnsi="Arial" w:cs="Arial"/>
                <w:sz w:val="20"/>
                <w:szCs w:val="20"/>
              </w:rPr>
              <w:t>antes de la entrada en vigencia de la Cuadragésima</w:t>
            </w:r>
            <w:r>
              <w:rPr>
                <w:rFonts w:ascii="Arial" w:hAnsi="Arial" w:cs="Arial"/>
                <w:sz w:val="20"/>
                <w:szCs w:val="20"/>
              </w:rPr>
              <w:t xml:space="preserve"> </w:t>
            </w:r>
            <w:r w:rsidRPr="0011752F">
              <w:rPr>
                <w:rFonts w:ascii="Arial" w:hAnsi="Arial" w:cs="Arial"/>
                <w:sz w:val="20"/>
                <w:szCs w:val="20"/>
              </w:rPr>
              <w:t>Primera Disposición Complementaria de la Ley N° 30114.</w:t>
            </w:r>
          </w:p>
          <w:p w:rsidR="00EA1C3B" w:rsidRDefault="00EA1C3B" w:rsidP="00EA3E27">
            <w:pPr>
              <w:pStyle w:val="Prrafodelista"/>
              <w:autoSpaceDE w:val="0"/>
              <w:autoSpaceDN w:val="0"/>
              <w:adjustRightInd w:val="0"/>
              <w:spacing w:line="276" w:lineRule="auto"/>
              <w:ind w:left="360"/>
              <w:jc w:val="both"/>
              <w:rPr>
                <w:rFonts w:ascii="Arial" w:hAnsi="Arial" w:cs="Arial"/>
                <w:sz w:val="20"/>
                <w:szCs w:val="20"/>
              </w:rPr>
            </w:pPr>
          </w:p>
          <w:p w:rsidR="0011752F" w:rsidRDefault="0011752F" w:rsidP="00EA3E27">
            <w:pPr>
              <w:pStyle w:val="Prrafodelista"/>
              <w:autoSpaceDE w:val="0"/>
              <w:autoSpaceDN w:val="0"/>
              <w:adjustRightInd w:val="0"/>
              <w:spacing w:line="276" w:lineRule="auto"/>
              <w:ind w:left="360"/>
              <w:jc w:val="both"/>
              <w:rPr>
                <w:rFonts w:ascii="Arial" w:hAnsi="Arial" w:cs="Arial"/>
                <w:sz w:val="20"/>
                <w:szCs w:val="20"/>
              </w:rPr>
            </w:pPr>
            <w:r w:rsidRPr="0011752F">
              <w:rPr>
                <w:rFonts w:ascii="Arial" w:hAnsi="Arial" w:cs="Arial"/>
                <w:sz w:val="20"/>
                <w:szCs w:val="20"/>
              </w:rPr>
              <w:t>Cualquier nuevo desembolso que las entidades</w:t>
            </w:r>
            <w:r>
              <w:rPr>
                <w:rFonts w:ascii="Arial" w:hAnsi="Arial" w:cs="Arial"/>
                <w:sz w:val="20"/>
                <w:szCs w:val="20"/>
              </w:rPr>
              <w:t xml:space="preserve"> </w:t>
            </w:r>
            <w:r w:rsidRPr="0011752F">
              <w:rPr>
                <w:rFonts w:ascii="Arial" w:hAnsi="Arial" w:cs="Arial"/>
                <w:sz w:val="20"/>
                <w:szCs w:val="20"/>
              </w:rPr>
              <w:t>supervisadas y/o reguladas por la SBS</w:t>
            </w:r>
            <w:r w:rsidR="00667B43">
              <w:rPr>
                <w:rFonts w:ascii="Arial" w:hAnsi="Arial" w:cs="Arial"/>
                <w:sz w:val="20"/>
                <w:szCs w:val="20"/>
              </w:rPr>
              <w:t xml:space="preserve"> efectuará</w:t>
            </w:r>
            <w:r w:rsidRPr="0011752F">
              <w:rPr>
                <w:rFonts w:ascii="Arial" w:hAnsi="Arial" w:cs="Arial"/>
                <w:sz w:val="20"/>
                <w:szCs w:val="20"/>
              </w:rPr>
              <w:t>n con cargo a las líneas</w:t>
            </w:r>
            <w:r>
              <w:rPr>
                <w:rFonts w:ascii="Arial" w:hAnsi="Arial" w:cs="Arial"/>
                <w:sz w:val="20"/>
                <w:szCs w:val="20"/>
              </w:rPr>
              <w:t xml:space="preserve"> </w:t>
            </w:r>
            <w:r w:rsidRPr="0011752F">
              <w:rPr>
                <w:rFonts w:ascii="Arial" w:hAnsi="Arial" w:cs="Arial"/>
                <w:sz w:val="20"/>
                <w:szCs w:val="20"/>
              </w:rPr>
              <w:t>asociadas a un crédito de consumo otorgado antes de</w:t>
            </w:r>
            <w:r>
              <w:rPr>
                <w:rFonts w:ascii="Arial" w:hAnsi="Arial" w:cs="Arial"/>
                <w:sz w:val="20"/>
                <w:szCs w:val="20"/>
              </w:rPr>
              <w:t xml:space="preserve"> </w:t>
            </w:r>
            <w:r w:rsidRPr="0011752F">
              <w:rPr>
                <w:rFonts w:ascii="Arial" w:hAnsi="Arial" w:cs="Arial"/>
                <w:sz w:val="20"/>
                <w:szCs w:val="20"/>
              </w:rPr>
              <w:t>la vigencia de la presente norma, y que afecte la planilla</w:t>
            </w:r>
            <w:r w:rsidR="00EA1C3B">
              <w:rPr>
                <w:rFonts w:ascii="Arial" w:hAnsi="Arial" w:cs="Arial"/>
                <w:sz w:val="20"/>
                <w:szCs w:val="20"/>
              </w:rPr>
              <w:t xml:space="preserve"> </w:t>
            </w:r>
            <w:r w:rsidRPr="0011752F">
              <w:rPr>
                <w:rFonts w:ascii="Arial" w:hAnsi="Arial" w:cs="Arial"/>
                <w:sz w:val="20"/>
                <w:szCs w:val="20"/>
              </w:rPr>
              <w:t>única de pago de las entidades del Sector Público, será</w:t>
            </w:r>
            <w:r>
              <w:rPr>
                <w:rFonts w:ascii="Arial" w:hAnsi="Arial" w:cs="Arial"/>
                <w:sz w:val="20"/>
                <w:szCs w:val="20"/>
              </w:rPr>
              <w:t xml:space="preserve"> </w:t>
            </w:r>
            <w:r w:rsidRPr="0011752F">
              <w:rPr>
                <w:rFonts w:ascii="Arial" w:hAnsi="Arial" w:cs="Arial"/>
                <w:sz w:val="20"/>
                <w:szCs w:val="20"/>
              </w:rPr>
              <w:t>considerado como un nuevo crédito y le serán por tanto</w:t>
            </w:r>
            <w:r>
              <w:rPr>
                <w:rFonts w:ascii="Arial" w:hAnsi="Arial" w:cs="Arial"/>
                <w:sz w:val="20"/>
                <w:szCs w:val="20"/>
              </w:rPr>
              <w:t xml:space="preserve"> </w:t>
            </w:r>
            <w:r w:rsidRPr="0011752F">
              <w:rPr>
                <w:rFonts w:ascii="Arial" w:hAnsi="Arial" w:cs="Arial"/>
                <w:sz w:val="20"/>
                <w:szCs w:val="20"/>
              </w:rPr>
              <w:t>aplicables todas las condiciones señaladas.</w:t>
            </w:r>
          </w:p>
          <w:p w:rsidR="00EA1C3B" w:rsidRDefault="00EA1C3B" w:rsidP="00EA3E27">
            <w:pPr>
              <w:pStyle w:val="Prrafodelista"/>
              <w:autoSpaceDE w:val="0"/>
              <w:autoSpaceDN w:val="0"/>
              <w:adjustRightInd w:val="0"/>
              <w:spacing w:line="276" w:lineRule="auto"/>
              <w:ind w:left="360"/>
              <w:jc w:val="both"/>
              <w:rPr>
                <w:rFonts w:ascii="Arial" w:hAnsi="Arial" w:cs="Arial"/>
                <w:sz w:val="20"/>
                <w:szCs w:val="20"/>
              </w:rPr>
            </w:pPr>
          </w:p>
          <w:p w:rsidR="00EA1C3B" w:rsidRPr="002B6081" w:rsidRDefault="00EA1C3B" w:rsidP="00EA3E27">
            <w:pPr>
              <w:pStyle w:val="Prrafodelista"/>
              <w:numPr>
                <w:ilvl w:val="0"/>
                <w:numId w:val="4"/>
              </w:numPr>
              <w:autoSpaceDE w:val="0"/>
              <w:autoSpaceDN w:val="0"/>
              <w:adjustRightInd w:val="0"/>
              <w:spacing w:line="276" w:lineRule="auto"/>
              <w:jc w:val="both"/>
              <w:rPr>
                <w:rFonts w:ascii="Arial" w:hAnsi="Arial" w:cs="Arial"/>
                <w:b/>
                <w:sz w:val="20"/>
                <w:szCs w:val="20"/>
              </w:rPr>
            </w:pPr>
            <w:r w:rsidRPr="002B6081">
              <w:rPr>
                <w:rFonts w:ascii="Arial" w:hAnsi="Arial" w:cs="Arial"/>
                <w:b/>
                <w:sz w:val="20"/>
                <w:szCs w:val="20"/>
              </w:rPr>
              <w:t xml:space="preserve">Si el servidor o cesante recibe menos del 50% del monto neto total que mensualmente le correspondería percibir, no podrá solicitar ni autorizar la afectación de la planilla única de pago para la amortización de nuevos créditos. </w:t>
            </w:r>
          </w:p>
          <w:p w:rsidR="00EA1C3B" w:rsidRDefault="00EA1C3B" w:rsidP="00EA3E27">
            <w:pPr>
              <w:pStyle w:val="Prrafodelista"/>
              <w:autoSpaceDE w:val="0"/>
              <w:autoSpaceDN w:val="0"/>
              <w:adjustRightInd w:val="0"/>
              <w:spacing w:line="276" w:lineRule="auto"/>
              <w:ind w:left="360"/>
              <w:jc w:val="both"/>
              <w:rPr>
                <w:rFonts w:ascii="Arial" w:hAnsi="Arial" w:cs="Arial"/>
                <w:sz w:val="20"/>
                <w:szCs w:val="20"/>
              </w:rPr>
            </w:pPr>
          </w:p>
          <w:p w:rsidR="00EA1C3B" w:rsidRDefault="00EA1C3B" w:rsidP="00EA3E27">
            <w:pPr>
              <w:pStyle w:val="Prrafodelista"/>
              <w:autoSpaceDE w:val="0"/>
              <w:autoSpaceDN w:val="0"/>
              <w:adjustRightInd w:val="0"/>
              <w:spacing w:line="276" w:lineRule="auto"/>
              <w:ind w:left="360"/>
              <w:jc w:val="both"/>
              <w:rPr>
                <w:rFonts w:ascii="Arial" w:hAnsi="Arial" w:cs="Arial"/>
                <w:sz w:val="20"/>
                <w:szCs w:val="20"/>
              </w:rPr>
            </w:pPr>
            <w:r w:rsidRPr="00EA1C3B">
              <w:rPr>
                <w:rFonts w:ascii="Arial" w:hAnsi="Arial" w:cs="Arial"/>
                <w:sz w:val="20"/>
                <w:szCs w:val="20"/>
              </w:rPr>
              <w:t>Únicamente a partir del momento en que el servidor</w:t>
            </w:r>
            <w:r>
              <w:rPr>
                <w:rFonts w:ascii="Arial" w:hAnsi="Arial" w:cs="Arial"/>
                <w:sz w:val="20"/>
                <w:szCs w:val="20"/>
              </w:rPr>
              <w:t xml:space="preserve"> </w:t>
            </w:r>
            <w:r w:rsidRPr="00EA1C3B">
              <w:rPr>
                <w:rFonts w:ascii="Arial" w:hAnsi="Arial" w:cs="Arial"/>
                <w:sz w:val="20"/>
                <w:szCs w:val="20"/>
              </w:rPr>
              <w:t>o cesante perciba</w:t>
            </w:r>
            <w:r>
              <w:rPr>
                <w:rFonts w:ascii="Arial" w:hAnsi="Arial" w:cs="Arial"/>
                <w:sz w:val="20"/>
                <w:szCs w:val="20"/>
              </w:rPr>
              <w:t xml:space="preserve"> efectivamente más 50% del monto neto</w:t>
            </w:r>
            <w:r w:rsidRPr="00EA1C3B">
              <w:rPr>
                <w:rFonts w:ascii="Arial" w:hAnsi="Arial" w:cs="Arial"/>
                <w:sz w:val="20"/>
                <w:szCs w:val="20"/>
              </w:rPr>
              <w:t>, podrá solicitar a</w:t>
            </w:r>
            <w:r>
              <w:rPr>
                <w:rFonts w:ascii="Arial" w:hAnsi="Arial" w:cs="Arial"/>
                <w:sz w:val="20"/>
                <w:szCs w:val="20"/>
              </w:rPr>
              <w:t xml:space="preserve"> </w:t>
            </w:r>
            <w:r w:rsidRPr="00EA1C3B">
              <w:rPr>
                <w:rFonts w:ascii="Arial" w:hAnsi="Arial" w:cs="Arial"/>
                <w:sz w:val="20"/>
                <w:szCs w:val="20"/>
              </w:rPr>
              <w:t>su entidad la afectación</w:t>
            </w:r>
            <w:r>
              <w:rPr>
                <w:rFonts w:ascii="Arial" w:hAnsi="Arial" w:cs="Arial"/>
                <w:sz w:val="20"/>
                <w:szCs w:val="20"/>
              </w:rPr>
              <w:t xml:space="preserve"> de</w:t>
            </w:r>
            <w:r w:rsidRPr="00EA1C3B">
              <w:rPr>
                <w:rFonts w:ascii="Arial" w:hAnsi="Arial" w:cs="Arial"/>
                <w:sz w:val="20"/>
                <w:szCs w:val="20"/>
              </w:rPr>
              <w:t xml:space="preserve"> la planilla para la atención de</w:t>
            </w:r>
            <w:r>
              <w:rPr>
                <w:rFonts w:ascii="Arial" w:hAnsi="Arial" w:cs="Arial"/>
                <w:sz w:val="20"/>
                <w:szCs w:val="20"/>
              </w:rPr>
              <w:t xml:space="preserve"> </w:t>
            </w:r>
            <w:r w:rsidRPr="00EA1C3B">
              <w:rPr>
                <w:rFonts w:ascii="Arial" w:hAnsi="Arial" w:cs="Arial"/>
                <w:sz w:val="20"/>
                <w:szCs w:val="20"/>
              </w:rPr>
              <w:t>créditos en los térm</w:t>
            </w:r>
            <w:r>
              <w:rPr>
                <w:rFonts w:ascii="Arial" w:hAnsi="Arial" w:cs="Arial"/>
                <w:sz w:val="20"/>
                <w:szCs w:val="20"/>
              </w:rPr>
              <w:t>inos y condiciones establecidos</w:t>
            </w:r>
            <w:r w:rsidRPr="00EA1C3B">
              <w:rPr>
                <w:rFonts w:ascii="Arial" w:hAnsi="Arial" w:cs="Arial"/>
                <w:sz w:val="20"/>
                <w:szCs w:val="20"/>
              </w:rPr>
              <w:t>.</w:t>
            </w:r>
          </w:p>
          <w:p w:rsidR="00EA3E27" w:rsidRDefault="00EA3E27" w:rsidP="00EA3E27">
            <w:pPr>
              <w:pStyle w:val="Prrafodelista"/>
              <w:autoSpaceDE w:val="0"/>
              <w:autoSpaceDN w:val="0"/>
              <w:adjustRightInd w:val="0"/>
              <w:spacing w:line="276" w:lineRule="auto"/>
              <w:ind w:left="360"/>
              <w:jc w:val="both"/>
              <w:rPr>
                <w:rFonts w:ascii="Arial" w:hAnsi="Arial" w:cs="Arial"/>
                <w:sz w:val="20"/>
                <w:szCs w:val="20"/>
              </w:rPr>
            </w:pPr>
          </w:p>
          <w:p w:rsidR="00EA3E27" w:rsidRPr="00E015D1" w:rsidRDefault="00EA3E27" w:rsidP="00EA3E27">
            <w:pPr>
              <w:pStyle w:val="Prrafodelista"/>
              <w:numPr>
                <w:ilvl w:val="0"/>
                <w:numId w:val="4"/>
              </w:numPr>
              <w:autoSpaceDE w:val="0"/>
              <w:autoSpaceDN w:val="0"/>
              <w:adjustRightInd w:val="0"/>
              <w:spacing w:line="276" w:lineRule="auto"/>
              <w:jc w:val="both"/>
              <w:rPr>
                <w:rFonts w:ascii="Arial" w:eastAsia="Calibri" w:hAnsi="Arial" w:cs="Arial"/>
                <w:sz w:val="20"/>
                <w:szCs w:val="20"/>
                <w:lang w:eastAsia="es-PE"/>
              </w:rPr>
            </w:pPr>
            <w:r>
              <w:rPr>
                <w:rFonts w:ascii="Arial" w:eastAsia="Calibri" w:hAnsi="Arial" w:cs="Arial"/>
                <w:sz w:val="20"/>
                <w:szCs w:val="20"/>
                <w:lang w:eastAsia="es-PE"/>
              </w:rPr>
              <w:t xml:space="preserve">La presente norma entrará en vigencia a partir del </w:t>
            </w:r>
            <w:r w:rsidRPr="00524D3C">
              <w:rPr>
                <w:rFonts w:ascii="Arial" w:eastAsia="Calibri" w:hAnsi="Arial" w:cs="Arial"/>
                <w:b/>
                <w:sz w:val="20"/>
                <w:szCs w:val="20"/>
                <w:lang w:eastAsia="es-PE"/>
              </w:rPr>
              <w:t>17 de enero de 2014.</w:t>
            </w:r>
          </w:p>
          <w:p w:rsidR="00EA3E27" w:rsidRPr="00EA1C3B" w:rsidRDefault="00EA3E27" w:rsidP="00EA3E27">
            <w:pPr>
              <w:pStyle w:val="Prrafodelista"/>
              <w:autoSpaceDE w:val="0"/>
              <w:autoSpaceDN w:val="0"/>
              <w:adjustRightInd w:val="0"/>
              <w:spacing w:line="276" w:lineRule="auto"/>
              <w:ind w:left="360"/>
              <w:jc w:val="both"/>
              <w:rPr>
                <w:rFonts w:ascii="Arial" w:hAnsi="Arial" w:cs="Arial"/>
                <w:sz w:val="20"/>
                <w:szCs w:val="20"/>
              </w:rPr>
            </w:pPr>
          </w:p>
        </w:tc>
      </w:tr>
    </w:tbl>
    <w:p w:rsidR="00B352F9" w:rsidRDefault="00B352F9" w:rsidP="00EA3E27">
      <w:pPr>
        <w:spacing w:line="276" w:lineRule="auto"/>
      </w:pPr>
      <w:bookmarkStart w:id="0" w:name="_GoBack"/>
      <w:bookmarkEnd w:id="0"/>
    </w:p>
    <w:sectPr w:rsidR="00B352F9" w:rsidSect="004878EF">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46CF"/>
    <w:multiLevelType w:val="hybridMultilevel"/>
    <w:tmpl w:val="7FAC8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B53526"/>
    <w:multiLevelType w:val="hybridMultilevel"/>
    <w:tmpl w:val="59B4D128"/>
    <w:lvl w:ilvl="0" w:tplc="0C0A0017">
      <w:start w:val="1"/>
      <w:numFmt w:val="lowerLetter"/>
      <w:lvlText w:val="%1)"/>
      <w:lvlJc w:val="left"/>
      <w:pPr>
        <w:ind w:left="1038" w:hanging="360"/>
      </w:pPr>
      <w:rPr>
        <w:rFonts w:cs="Times New Roman"/>
      </w:rPr>
    </w:lvl>
    <w:lvl w:ilvl="1" w:tplc="0C0A0019" w:tentative="1">
      <w:start w:val="1"/>
      <w:numFmt w:val="lowerLetter"/>
      <w:lvlText w:val="%2."/>
      <w:lvlJc w:val="left"/>
      <w:pPr>
        <w:ind w:left="1758" w:hanging="360"/>
      </w:pPr>
      <w:rPr>
        <w:rFonts w:cs="Times New Roman"/>
      </w:rPr>
    </w:lvl>
    <w:lvl w:ilvl="2" w:tplc="0C0A001B" w:tentative="1">
      <w:start w:val="1"/>
      <w:numFmt w:val="lowerRoman"/>
      <w:lvlText w:val="%3."/>
      <w:lvlJc w:val="right"/>
      <w:pPr>
        <w:ind w:left="2478" w:hanging="180"/>
      </w:pPr>
      <w:rPr>
        <w:rFonts w:cs="Times New Roman"/>
      </w:rPr>
    </w:lvl>
    <w:lvl w:ilvl="3" w:tplc="0C0A000F" w:tentative="1">
      <w:start w:val="1"/>
      <w:numFmt w:val="decimal"/>
      <w:lvlText w:val="%4."/>
      <w:lvlJc w:val="left"/>
      <w:pPr>
        <w:ind w:left="3198" w:hanging="360"/>
      </w:pPr>
      <w:rPr>
        <w:rFonts w:cs="Times New Roman"/>
      </w:rPr>
    </w:lvl>
    <w:lvl w:ilvl="4" w:tplc="0C0A0019" w:tentative="1">
      <w:start w:val="1"/>
      <w:numFmt w:val="lowerLetter"/>
      <w:lvlText w:val="%5."/>
      <w:lvlJc w:val="left"/>
      <w:pPr>
        <w:ind w:left="3918" w:hanging="360"/>
      </w:pPr>
      <w:rPr>
        <w:rFonts w:cs="Times New Roman"/>
      </w:rPr>
    </w:lvl>
    <w:lvl w:ilvl="5" w:tplc="0C0A001B" w:tentative="1">
      <w:start w:val="1"/>
      <w:numFmt w:val="lowerRoman"/>
      <w:lvlText w:val="%6."/>
      <w:lvlJc w:val="right"/>
      <w:pPr>
        <w:ind w:left="4638" w:hanging="180"/>
      </w:pPr>
      <w:rPr>
        <w:rFonts w:cs="Times New Roman"/>
      </w:rPr>
    </w:lvl>
    <w:lvl w:ilvl="6" w:tplc="0C0A000F" w:tentative="1">
      <w:start w:val="1"/>
      <w:numFmt w:val="decimal"/>
      <w:lvlText w:val="%7."/>
      <w:lvlJc w:val="left"/>
      <w:pPr>
        <w:ind w:left="5358" w:hanging="360"/>
      </w:pPr>
      <w:rPr>
        <w:rFonts w:cs="Times New Roman"/>
      </w:rPr>
    </w:lvl>
    <w:lvl w:ilvl="7" w:tplc="0C0A0019" w:tentative="1">
      <w:start w:val="1"/>
      <w:numFmt w:val="lowerLetter"/>
      <w:lvlText w:val="%8."/>
      <w:lvlJc w:val="left"/>
      <w:pPr>
        <w:ind w:left="6078" w:hanging="360"/>
      </w:pPr>
      <w:rPr>
        <w:rFonts w:cs="Times New Roman"/>
      </w:rPr>
    </w:lvl>
    <w:lvl w:ilvl="8" w:tplc="0C0A001B" w:tentative="1">
      <w:start w:val="1"/>
      <w:numFmt w:val="lowerRoman"/>
      <w:lvlText w:val="%9."/>
      <w:lvlJc w:val="right"/>
      <w:pPr>
        <w:ind w:left="6798" w:hanging="180"/>
      </w:pPr>
      <w:rPr>
        <w:rFonts w:cs="Times New Roman"/>
      </w:rPr>
    </w:lvl>
  </w:abstractNum>
  <w:abstractNum w:abstractNumId="2">
    <w:nsid w:val="1DEB74EC"/>
    <w:multiLevelType w:val="hybridMultilevel"/>
    <w:tmpl w:val="91F2667C"/>
    <w:lvl w:ilvl="0" w:tplc="E03E666C">
      <w:numFmt w:val="bullet"/>
      <w:lvlText w:val="-"/>
      <w:lvlJc w:val="left"/>
      <w:pPr>
        <w:ind w:left="144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
    <w:nsid w:val="2C6021F1"/>
    <w:multiLevelType w:val="hybridMultilevel"/>
    <w:tmpl w:val="961AFD68"/>
    <w:lvl w:ilvl="0" w:tplc="D06C60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F0B6C7A"/>
    <w:multiLevelType w:val="hybridMultilevel"/>
    <w:tmpl w:val="0DBE6D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86943C4"/>
    <w:multiLevelType w:val="hybridMultilevel"/>
    <w:tmpl w:val="E6806E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1810CFE"/>
    <w:multiLevelType w:val="hybridMultilevel"/>
    <w:tmpl w:val="DA0EDBDC"/>
    <w:lvl w:ilvl="0" w:tplc="9B9055D8">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55567942"/>
    <w:multiLevelType w:val="multilevel"/>
    <w:tmpl w:val="62FCB2D6"/>
    <w:lvl w:ilvl="0">
      <w:start w:val="4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5DD90AB0"/>
    <w:multiLevelType w:val="hybridMultilevel"/>
    <w:tmpl w:val="69DA5E50"/>
    <w:lvl w:ilvl="0" w:tplc="9B9055D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2854745"/>
    <w:multiLevelType w:val="hybridMultilevel"/>
    <w:tmpl w:val="BFC0AF7A"/>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701807FE"/>
    <w:multiLevelType w:val="hybridMultilevel"/>
    <w:tmpl w:val="5DCCD0EE"/>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733E6729"/>
    <w:multiLevelType w:val="hybridMultilevel"/>
    <w:tmpl w:val="B5F28F6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7A014FA8"/>
    <w:multiLevelType w:val="hybridMultilevel"/>
    <w:tmpl w:val="814E20DC"/>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4"/>
  </w:num>
  <w:num w:numId="7">
    <w:abstractNumId w:val="8"/>
  </w:num>
  <w:num w:numId="8">
    <w:abstractNumId w:val="11"/>
  </w:num>
  <w:num w:numId="9">
    <w:abstractNumId w:val="10"/>
  </w:num>
  <w:num w:numId="10">
    <w:abstractNumId w:val="12"/>
  </w:num>
  <w:num w:numId="11">
    <w:abstractNumId w:val="9"/>
  </w:num>
  <w:num w:numId="12">
    <w:abstractNumId w:val="7"/>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4878EF"/>
    <w:rsid w:val="00086C61"/>
    <w:rsid w:val="000C3302"/>
    <w:rsid w:val="000D098A"/>
    <w:rsid w:val="00102213"/>
    <w:rsid w:val="0011752F"/>
    <w:rsid w:val="00167041"/>
    <w:rsid w:val="001A0F57"/>
    <w:rsid w:val="001D08AD"/>
    <w:rsid w:val="001F5EF1"/>
    <w:rsid w:val="00205A79"/>
    <w:rsid w:val="0020774E"/>
    <w:rsid w:val="002708AA"/>
    <w:rsid w:val="00297248"/>
    <w:rsid w:val="002B52B2"/>
    <w:rsid w:val="002B6081"/>
    <w:rsid w:val="002C513A"/>
    <w:rsid w:val="002D49C8"/>
    <w:rsid w:val="00301DC4"/>
    <w:rsid w:val="00302124"/>
    <w:rsid w:val="003A1571"/>
    <w:rsid w:val="003B1448"/>
    <w:rsid w:val="003F11BE"/>
    <w:rsid w:val="003F3A25"/>
    <w:rsid w:val="00421816"/>
    <w:rsid w:val="00442DEB"/>
    <w:rsid w:val="004653F0"/>
    <w:rsid w:val="00475E54"/>
    <w:rsid w:val="00485429"/>
    <w:rsid w:val="004878EF"/>
    <w:rsid w:val="005119E4"/>
    <w:rsid w:val="005219C4"/>
    <w:rsid w:val="005235EF"/>
    <w:rsid w:val="00524D3C"/>
    <w:rsid w:val="00572CA2"/>
    <w:rsid w:val="00576F1E"/>
    <w:rsid w:val="005A457C"/>
    <w:rsid w:val="005D0BDC"/>
    <w:rsid w:val="005E6485"/>
    <w:rsid w:val="006501D7"/>
    <w:rsid w:val="00667B43"/>
    <w:rsid w:val="00683877"/>
    <w:rsid w:val="00685FDF"/>
    <w:rsid w:val="006F2C13"/>
    <w:rsid w:val="007259CC"/>
    <w:rsid w:val="00727292"/>
    <w:rsid w:val="00792B9A"/>
    <w:rsid w:val="007A4090"/>
    <w:rsid w:val="007E4964"/>
    <w:rsid w:val="00806C13"/>
    <w:rsid w:val="008229B9"/>
    <w:rsid w:val="00886BE3"/>
    <w:rsid w:val="008E30F2"/>
    <w:rsid w:val="008F502F"/>
    <w:rsid w:val="00934B96"/>
    <w:rsid w:val="009365C7"/>
    <w:rsid w:val="009547E0"/>
    <w:rsid w:val="009E515D"/>
    <w:rsid w:val="009F3566"/>
    <w:rsid w:val="009F55F4"/>
    <w:rsid w:val="00A60E51"/>
    <w:rsid w:val="00A742E1"/>
    <w:rsid w:val="00A96D3F"/>
    <w:rsid w:val="00AB4A9C"/>
    <w:rsid w:val="00AC3AB1"/>
    <w:rsid w:val="00AF5D7E"/>
    <w:rsid w:val="00B352F9"/>
    <w:rsid w:val="00B73BBF"/>
    <w:rsid w:val="00BA0368"/>
    <w:rsid w:val="00BB2822"/>
    <w:rsid w:val="00C10BC1"/>
    <w:rsid w:val="00C32839"/>
    <w:rsid w:val="00C50343"/>
    <w:rsid w:val="00C81C00"/>
    <w:rsid w:val="00C92544"/>
    <w:rsid w:val="00D148EA"/>
    <w:rsid w:val="00D42A1F"/>
    <w:rsid w:val="00D51D02"/>
    <w:rsid w:val="00D81902"/>
    <w:rsid w:val="00D927A8"/>
    <w:rsid w:val="00DB7E76"/>
    <w:rsid w:val="00DD155B"/>
    <w:rsid w:val="00E015D1"/>
    <w:rsid w:val="00E1549F"/>
    <w:rsid w:val="00E17D9E"/>
    <w:rsid w:val="00E82308"/>
    <w:rsid w:val="00EA0BA8"/>
    <w:rsid w:val="00EA1C3B"/>
    <w:rsid w:val="00EA3E27"/>
    <w:rsid w:val="00F32976"/>
    <w:rsid w:val="00F64A3B"/>
    <w:rsid w:val="00FB09DD"/>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EF"/>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5235EF"/>
    <w:pPr>
      <w:ind w:left="720"/>
      <w:contextualSpacing/>
    </w:pPr>
  </w:style>
  <w:style w:type="character" w:styleId="Hipervnculo">
    <w:name w:val="Hyperlink"/>
    <w:basedOn w:val="Fuentedeprrafopredeter"/>
    <w:uiPriority w:val="99"/>
    <w:unhideWhenUsed/>
    <w:rsid w:val="000D09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EF"/>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5235EF"/>
    <w:pPr>
      <w:ind w:left="720"/>
      <w:contextualSpacing/>
    </w:pPr>
  </w:style>
</w:styles>
</file>

<file path=word/webSettings.xml><?xml version="1.0" encoding="utf-8"?>
<w:webSettings xmlns:r="http://schemas.openxmlformats.org/officeDocument/2006/relationships" xmlns:w="http://schemas.openxmlformats.org/wordprocessingml/2006/main">
  <w:divs>
    <w:div w:id="7541290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f.gob.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8</Pages>
  <Words>1806</Words>
  <Characters>9975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REPORTE DE NORMAS LEGALES</vt:lpstr>
    </vt:vector>
  </TitlesOfParts>
  <Company>sbn</Company>
  <LinksUpToDate>false</LinksUpToDate>
  <CharactersWithSpaces>11758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REPORTE DE NORMAS LEGALES</dc:title>
  <dc:creator>jotiniano</dc:creator>
  <cp:lastModifiedBy>esalazar</cp:lastModifiedBy>
  <cp:revision>54</cp:revision>
  <dcterms:created xsi:type="dcterms:W3CDTF">2014-01-10T14:00:00Z</dcterms:created>
  <dcterms:modified xsi:type="dcterms:W3CDTF">2014-01-16T17:09:00Z</dcterms:modified>
</cp:coreProperties>
</file>