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4878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Default="00B352F9" w:rsidP="004878EF">
      <w:pPr>
        <w:rPr>
          <w:rFonts w:ascii="Arial" w:hAnsi="Arial" w:cs="Arial"/>
          <w:sz w:val="20"/>
          <w:szCs w:val="20"/>
        </w:rPr>
      </w:pPr>
    </w:p>
    <w:p w:rsidR="00B352F9" w:rsidRPr="00D51D02" w:rsidRDefault="00B352F9" w:rsidP="004878EF">
      <w:pPr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B352F9" w:rsidP="00086C61">
            <w:pPr>
              <w:tabs>
                <w:tab w:val="center" w:pos="4513"/>
                <w:tab w:val="left" w:pos="6331"/>
              </w:tabs>
              <w:spacing w:line="360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 w:rsidRPr="00086C61">
              <w:rPr>
                <w:rFonts w:ascii="Arial" w:hAnsi="Arial" w:cs="Arial"/>
                <w:b/>
                <w:lang w:val="es-PE" w:eastAsia="es-PE"/>
              </w:rPr>
              <w:t>Fecha: 1</w:t>
            </w:r>
            <w:r w:rsidR="00683877" w:rsidRPr="00086C61">
              <w:rPr>
                <w:rFonts w:ascii="Arial" w:hAnsi="Arial" w:cs="Arial"/>
                <w:b/>
                <w:lang w:val="es-PE" w:eastAsia="es-PE"/>
              </w:rPr>
              <w:t>1</w:t>
            </w:r>
            <w:r w:rsidRPr="00086C61">
              <w:rPr>
                <w:rFonts w:ascii="Arial" w:hAnsi="Arial" w:cs="Arial"/>
                <w:b/>
                <w:lang w:val="es-PE" w:eastAsia="es-PE"/>
              </w:rPr>
              <w:t xml:space="preserve"> de enero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352F9" w:rsidRDefault="00B352F9" w:rsidP="004878EF">
      <w:pPr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B352F9" w:rsidRDefault="00B352F9" w:rsidP="004878EF">
      <w:pPr>
        <w:rPr>
          <w:rFonts w:ascii="Arial" w:hAnsi="Arial" w:cs="Arial"/>
          <w:b/>
          <w:caps/>
          <w:sz w:val="20"/>
          <w:szCs w:val="20"/>
          <w:lang w:val="es-PE"/>
        </w:rPr>
      </w:pPr>
    </w:p>
    <w:p w:rsidR="00B352F9" w:rsidRDefault="00B352F9" w:rsidP="00485429">
      <w:pPr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485429"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9365C7" w:rsidRPr="00485429">
        <w:rPr>
          <w:rFonts w:ascii="Arial" w:hAnsi="Arial" w:cs="Arial"/>
          <w:b/>
          <w:sz w:val="22"/>
          <w:szCs w:val="22"/>
          <w:lang w:val="es-PE"/>
        </w:rPr>
        <w:t>LOS GOBIERNOS LOCALES</w:t>
      </w:r>
    </w:p>
    <w:p w:rsidR="00485429" w:rsidRPr="00485429" w:rsidRDefault="00485429" w:rsidP="00485429">
      <w:pPr>
        <w:jc w:val="center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B352F9" w:rsidP="004878EF">
      <w:pPr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5"/>
        <w:gridCol w:w="3211"/>
        <w:gridCol w:w="1901"/>
        <w:gridCol w:w="6311"/>
      </w:tblGrid>
      <w:tr w:rsidR="00B352F9" w:rsidTr="00086C61">
        <w:tc>
          <w:tcPr>
            <w:tcW w:w="2795" w:type="dxa"/>
            <w:shd w:val="clear" w:color="auto" w:fill="C4BC96" w:themeFill="background2" w:themeFillShade="BF"/>
            <w:vAlign w:val="center"/>
          </w:tcPr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3211" w:type="dxa"/>
            <w:shd w:val="clear" w:color="auto" w:fill="C4BC96" w:themeFill="background2" w:themeFillShade="BF"/>
            <w:vAlign w:val="center"/>
          </w:tcPr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1901" w:type="dxa"/>
            <w:shd w:val="clear" w:color="auto" w:fill="C4BC96" w:themeFill="background2" w:themeFillShade="BF"/>
            <w:vAlign w:val="center"/>
          </w:tcPr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1" w:type="dxa"/>
            <w:shd w:val="clear" w:color="auto" w:fill="C4BC96" w:themeFill="background2" w:themeFillShade="BF"/>
            <w:vAlign w:val="center"/>
          </w:tcPr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B73BBF">
        <w:trPr>
          <w:trHeight w:val="4324"/>
        </w:trPr>
        <w:tc>
          <w:tcPr>
            <w:tcW w:w="2795" w:type="dxa"/>
            <w:vAlign w:val="center"/>
          </w:tcPr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2F9" w:rsidRPr="00485429" w:rsidRDefault="009365C7" w:rsidP="00936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429">
              <w:rPr>
                <w:rFonts w:ascii="Arial" w:hAnsi="Arial" w:cs="Arial"/>
                <w:sz w:val="20"/>
                <w:szCs w:val="20"/>
              </w:rPr>
              <w:t>Ordenanza Nº 182-2014/MLV</w:t>
            </w:r>
          </w:p>
          <w:p w:rsidR="009365C7" w:rsidRPr="00485429" w:rsidRDefault="009365C7" w:rsidP="00936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429">
              <w:rPr>
                <w:rFonts w:ascii="Arial" w:hAnsi="Arial" w:cs="Arial"/>
                <w:sz w:val="20"/>
                <w:szCs w:val="20"/>
              </w:rPr>
              <w:t>(10/01/2014)</w:t>
            </w:r>
          </w:p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352F9" w:rsidRPr="00485429" w:rsidRDefault="00B352F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vAlign w:val="center"/>
          </w:tcPr>
          <w:p w:rsidR="00B352F9" w:rsidRPr="00485429" w:rsidRDefault="00B352F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65C7" w:rsidRPr="00485429" w:rsidRDefault="009365C7" w:rsidP="0093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429">
              <w:rPr>
                <w:rFonts w:ascii="Arial" w:hAnsi="Arial" w:cs="Arial"/>
                <w:sz w:val="20"/>
                <w:szCs w:val="20"/>
              </w:rPr>
              <w:t>Aprueban fechas de vencimiento para el pago de los Arbitrios Municipales e Impuesto Predial del ejercicio 2014 y establecen incentivos por su pronto pago</w:t>
            </w:r>
          </w:p>
        </w:tc>
        <w:tc>
          <w:tcPr>
            <w:tcW w:w="1901" w:type="dxa"/>
            <w:vAlign w:val="center"/>
          </w:tcPr>
          <w:p w:rsidR="00B352F9" w:rsidRPr="00485429" w:rsidRDefault="00B352F9" w:rsidP="00936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429">
              <w:rPr>
                <w:rFonts w:ascii="Arial" w:hAnsi="Arial" w:cs="Arial"/>
                <w:sz w:val="20"/>
                <w:szCs w:val="20"/>
              </w:rPr>
              <w:t>M</w:t>
            </w:r>
            <w:r w:rsidR="009365C7" w:rsidRPr="00485429">
              <w:rPr>
                <w:rFonts w:ascii="Arial" w:hAnsi="Arial" w:cs="Arial"/>
                <w:sz w:val="20"/>
                <w:szCs w:val="20"/>
              </w:rPr>
              <w:t>unicipalidad de La Victoria</w:t>
            </w:r>
          </w:p>
        </w:tc>
        <w:tc>
          <w:tcPr>
            <w:tcW w:w="6311" w:type="dxa"/>
            <w:vAlign w:val="center"/>
          </w:tcPr>
          <w:p w:rsidR="008F502F" w:rsidRPr="00485429" w:rsidRDefault="008F502F" w:rsidP="008E30F2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Se aprueban las fechas de vencimiento para el pago de los Arbitrios Municipales e Impuesto Predial del ejercicio 2014 y se establecen los incentivos por el “Pronto Pago” de dichos tributos en el presente año.</w:t>
            </w:r>
          </w:p>
          <w:p w:rsidR="00A742E1" w:rsidRPr="00485429" w:rsidRDefault="00A742E1" w:rsidP="008E30F2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A742E1" w:rsidRPr="00485429" w:rsidRDefault="00A742E1" w:rsidP="008E30F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Se fijan</w:t>
            </w:r>
            <w:r w:rsidR="00D51D02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las fechas de vencimiento para el pago de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="00D51D02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e Impuesto Predial del ejercicio 2014, de acuerdo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="00D51D02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al siguiente cronograma:</w:t>
            </w:r>
          </w:p>
          <w:p w:rsidR="008F502F" w:rsidRPr="00485429" w:rsidRDefault="008F502F" w:rsidP="008E30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A742E1" w:rsidRPr="00485429" w:rsidRDefault="00A742E1" w:rsidP="008E30F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Impuesto Predial Anual</w:t>
            </w:r>
            <w:r w:rsidR="00D51D02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: 28 de febrero del 2014</w:t>
            </w: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e Impuesto Predial trimestral</w:t>
            </w:r>
          </w:p>
          <w:p w:rsidR="003F11BE" w:rsidRPr="00485429" w:rsidRDefault="003F11BE" w:rsidP="008E30F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D51D02" w:rsidRPr="00485429" w:rsidRDefault="00A742E1" w:rsidP="008E30F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Enero, febrero y marzo</w:t>
            </w:r>
            <w:r w:rsidR="00D51D02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: 28 de febrero del 2014</w:t>
            </w:r>
            <w:r w:rsidR="009E515D">
              <w:rPr>
                <w:rFonts w:ascii="Arial" w:eastAsia="Calibri" w:hAnsi="Arial" w:cs="Arial"/>
                <w:sz w:val="20"/>
                <w:szCs w:val="20"/>
                <w:lang w:eastAsia="es-PE"/>
              </w:rPr>
              <w:t>.</w:t>
            </w:r>
          </w:p>
          <w:p w:rsidR="00D51D02" w:rsidRPr="00485429" w:rsidRDefault="00A742E1" w:rsidP="008E30F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Abril, mayo y junio</w:t>
            </w:r>
            <w:r w:rsidR="00D51D02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: 30 de mayo del 2014</w:t>
            </w:r>
            <w:r w:rsidR="009E515D">
              <w:rPr>
                <w:rFonts w:ascii="Arial" w:eastAsia="Calibri" w:hAnsi="Arial" w:cs="Arial"/>
                <w:sz w:val="20"/>
                <w:szCs w:val="20"/>
                <w:lang w:eastAsia="es-PE"/>
              </w:rPr>
              <w:t>.</w:t>
            </w: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Julio, ag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osto y septiembre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: 29 de agosto del 2014</w:t>
            </w:r>
            <w:r w:rsidR="009E515D">
              <w:rPr>
                <w:rFonts w:ascii="Arial" w:eastAsia="Calibri" w:hAnsi="Arial" w:cs="Arial"/>
                <w:sz w:val="20"/>
                <w:szCs w:val="20"/>
                <w:lang w:eastAsia="es-PE"/>
              </w:rPr>
              <w:t>.</w:t>
            </w: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Octubre, noviembre y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diciembre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: 28 de noviembre del 2014</w:t>
            </w:r>
            <w:r w:rsidR="009E515D">
              <w:rPr>
                <w:rFonts w:ascii="Arial" w:eastAsia="Calibri" w:hAnsi="Arial" w:cs="Arial"/>
                <w:sz w:val="20"/>
                <w:szCs w:val="20"/>
                <w:lang w:eastAsia="es-PE"/>
              </w:rPr>
              <w:t>.</w:t>
            </w:r>
          </w:p>
          <w:p w:rsidR="00A742E1" w:rsidRPr="00485429" w:rsidRDefault="00A742E1" w:rsidP="008E30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s-PE"/>
              </w:rPr>
            </w:pPr>
          </w:p>
          <w:p w:rsidR="00A742E1" w:rsidRPr="00485429" w:rsidRDefault="00D51D02" w:rsidP="008E30F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Los contribuyentes podrán acceder voluntariamente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a los incentivos por 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“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Pronto Pago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”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que regula la presente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Ordenanza, aplicándose el descuento al insoluto del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monto de los Arbitrios Municipales bajo las siguientes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modalidades:</w:t>
            </w:r>
          </w:p>
          <w:p w:rsidR="008F502F" w:rsidRPr="00485429" w:rsidRDefault="008F502F" w:rsidP="008E30F2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Por pago adelantado del Impuesto Predial Anual</w:t>
            </w:r>
            <w:r w:rsidR="00A742E1" w:rsidRPr="00485429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y Arbitrios Municipales:</w:t>
            </w:r>
          </w:p>
          <w:p w:rsidR="008F502F" w:rsidRPr="00485429" w:rsidRDefault="008F502F" w:rsidP="008E30F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12% de descuento sobre la determinación anual de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Municipales 2014, a condición que se cancelen los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4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trimestres de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Municipales y el Impuesto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Predial Anual, hasta el 31 de enero del 2014.</w:t>
            </w: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10% de descuento sobre la determinación anual de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Municipales 2014, a condición que se cancelen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los 4 trimestres de Arbitrios Municipales y el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Impuesto Predial Anual, hasta el 28 de febrero del 2014.</w:t>
            </w: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8% de descuento sobre la determinación de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Municipales 2014, a condición de que se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cancele el Impuesto Predial Anual, hasta el 28 de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febrero del 2014, siempre y cuando la cuota trimestral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de los Arbitrios Municipales se cancelen antes de su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vencimiento trimestral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.</w:t>
            </w: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6% de descuento sobre la determinación anual de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Arbitrios Municipales 2014, a condición de que se cancelen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los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4 trimestres de Arbitrios Municipales, hasta el</w:t>
            </w:r>
            <w:r w:rsidR="00A742E1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28 de febrero del 2014.</w:t>
            </w:r>
          </w:p>
          <w:p w:rsidR="00A742E1" w:rsidRPr="00485429" w:rsidRDefault="00A742E1" w:rsidP="008E30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Por pago adelantado trimestral del Impuesto</w:t>
            </w:r>
            <w:r w:rsidR="00A742E1" w:rsidRPr="00485429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  <w:t>Predial y Arbitrios Municipales:</w:t>
            </w:r>
          </w:p>
          <w:p w:rsidR="008F502F" w:rsidRPr="00485429" w:rsidRDefault="008F502F" w:rsidP="008E30F2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s-PE"/>
              </w:rPr>
            </w:pPr>
          </w:p>
          <w:p w:rsidR="00D51D02" w:rsidRPr="00485429" w:rsidRDefault="00D51D02" w:rsidP="008E30F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5% de descuento sobre la determinación trimestral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de Arbitrios Municipales 2014, a condición que dicho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trimestre de Arbitri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os Municipales sujeto al benefi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cio, se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cancele antes o dentro del vencimiento trimestral respectivo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conjuntamente con el Impuesto Predial.</w:t>
            </w:r>
          </w:p>
          <w:p w:rsidR="00A742E1" w:rsidRPr="00485429" w:rsidRDefault="00A742E1" w:rsidP="008E30F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s-PE"/>
              </w:rPr>
            </w:pPr>
          </w:p>
          <w:p w:rsidR="00B352F9" w:rsidRDefault="00D51D02" w:rsidP="008E30F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</w:pP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>La presente Ordenanza entrará en vigencia a</w:t>
            </w:r>
            <w:r w:rsidR="008F502F"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 </w:t>
            </w:r>
            <w:r w:rsidRPr="00485429">
              <w:rPr>
                <w:rFonts w:ascii="Arial" w:eastAsia="Calibri" w:hAnsi="Arial" w:cs="Arial"/>
                <w:sz w:val="20"/>
                <w:szCs w:val="20"/>
                <w:lang w:eastAsia="es-PE"/>
              </w:rPr>
              <w:t xml:space="preserve">partir del </w:t>
            </w:r>
            <w:r w:rsidR="009F55F4"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  <w:t>13</w:t>
            </w:r>
            <w:r w:rsidR="008F502F" w:rsidRPr="00485429"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  <w:t xml:space="preserve"> de enero de 2014.</w:t>
            </w:r>
          </w:p>
          <w:p w:rsidR="008E30F2" w:rsidRPr="008E30F2" w:rsidRDefault="008E30F2" w:rsidP="008E30F2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eastAsia="Calibri" w:hAnsi="Arial" w:cs="Arial"/>
                <w:b/>
                <w:sz w:val="20"/>
                <w:szCs w:val="20"/>
                <w:lang w:eastAsia="es-PE"/>
              </w:rPr>
            </w:pPr>
          </w:p>
        </w:tc>
      </w:tr>
    </w:tbl>
    <w:p w:rsidR="00B352F9" w:rsidRDefault="00B352F9">
      <w:bookmarkStart w:id="0" w:name="_GoBack"/>
      <w:bookmarkEnd w:id="0"/>
    </w:p>
    <w:sectPr w:rsidR="00B352F9" w:rsidSect="004878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3526"/>
    <w:multiLevelType w:val="hybridMultilevel"/>
    <w:tmpl w:val="59B4D128"/>
    <w:lvl w:ilvl="0" w:tplc="0C0A0017">
      <w:start w:val="1"/>
      <w:numFmt w:val="lowerLetter"/>
      <w:lvlText w:val="%1)"/>
      <w:lvlJc w:val="left"/>
      <w:pPr>
        <w:ind w:left="103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">
    <w:nsid w:val="1DEB74EC"/>
    <w:multiLevelType w:val="hybridMultilevel"/>
    <w:tmpl w:val="91F2667C"/>
    <w:lvl w:ilvl="0" w:tplc="E03E666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6021F1"/>
    <w:multiLevelType w:val="hybridMultilevel"/>
    <w:tmpl w:val="961AFD68"/>
    <w:lvl w:ilvl="0" w:tplc="D06C6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6C7A"/>
    <w:multiLevelType w:val="hybridMultilevel"/>
    <w:tmpl w:val="0DBE6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10CFE"/>
    <w:multiLevelType w:val="hybridMultilevel"/>
    <w:tmpl w:val="DA0EDBDC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D90AB0"/>
    <w:multiLevelType w:val="hybridMultilevel"/>
    <w:tmpl w:val="69DA5E50"/>
    <w:lvl w:ilvl="0" w:tplc="9B9055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54745"/>
    <w:multiLevelType w:val="hybridMultilevel"/>
    <w:tmpl w:val="BFC0AF7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1807FE"/>
    <w:multiLevelType w:val="hybridMultilevel"/>
    <w:tmpl w:val="5DCCD0EE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3E6729"/>
    <w:multiLevelType w:val="hybridMultilevel"/>
    <w:tmpl w:val="B5F28F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14FA8"/>
    <w:multiLevelType w:val="hybridMultilevel"/>
    <w:tmpl w:val="814E20D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86C61"/>
    <w:rsid w:val="001A0F57"/>
    <w:rsid w:val="001D08AD"/>
    <w:rsid w:val="0020774E"/>
    <w:rsid w:val="00297248"/>
    <w:rsid w:val="002B52B2"/>
    <w:rsid w:val="002C513A"/>
    <w:rsid w:val="002D49C8"/>
    <w:rsid w:val="00301DC4"/>
    <w:rsid w:val="003F11BE"/>
    <w:rsid w:val="003F3A25"/>
    <w:rsid w:val="00421816"/>
    <w:rsid w:val="00475E54"/>
    <w:rsid w:val="00485429"/>
    <w:rsid w:val="004878EF"/>
    <w:rsid w:val="005219C4"/>
    <w:rsid w:val="005235EF"/>
    <w:rsid w:val="00572CA2"/>
    <w:rsid w:val="00576F1E"/>
    <w:rsid w:val="005A457C"/>
    <w:rsid w:val="005E6485"/>
    <w:rsid w:val="00683877"/>
    <w:rsid w:val="00685FDF"/>
    <w:rsid w:val="00806C13"/>
    <w:rsid w:val="00886BE3"/>
    <w:rsid w:val="008E30F2"/>
    <w:rsid w:val="008F502F"/>
    <w:rsid w:val="00934B96"/>
    <w:rsid w:val="009365C7"/>
    <w:rsid w:val="009E515D"/>
    <w:rsid w:val="009F55F4"/>
    <w:rsid w:val="00A742E1"/>
    <w:rsid w:val="00A96D3F"/>
    <w:rsid w:val="00AB4A9C"/>
    <w:rsid w:val="00AC3AB1"/>
    <w:rsid w:val="00B352F9"/>
    <w:rsid w:val="00B73BBF"/>
    <w:rsid w:val="00BA0368"/>
    <w:rsid w:val="00C10BC1"/>
    <w:rsid w:val="00C81C00"/>
    <w:rsid w:val="00D148EA"/>
    <w:rsid w:val="00D51D02"/>
    <w:rsid w:val="00E1549F"/>
    <w:rsid w:val="00E82308"/>
    <w:rsid w:val="00EA0BA8"/>
    <w:rsid w:val="00FB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23</cp:revision>
  <dcterms:created xsi:type="dcterms:W3CDTF">2014-01-10T14:00:00Z</dcterms:created>
  <dcterms:modified xsi:type="dcterms:W3CDTF">2014-01-13T15:34:00Z</dcterms:modified>
</cp:coreProperties>
</file>