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F9" w:rsidRDefault="00B352F9" w:rsidP="00487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Default="00B352F9" w:rsidP="004878EF">
      <w:pPr>
        <w:rPr>
          <w:rFonts w:ascii="Arial" w:hAnsi="Arial" w:cs="Arial"/>
          <w:sz w:val="20"/>
          <w:szCs w:val="20"/>
        </w:rPr>
      </w:pPr>
    </w:p>
    <w:p w:rsidR="00B352F9" w:rsidRDefault="00B352F9" w:rsidP="004878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B352F9" w:rsidTr="004878EF">
        <w:tc>
          <w:tcPr>
            <w:tcW w:w="9242" w:type="dxa"/>
            <w:shd w:val="clear" w:color="auto" w:fill="D9D9D9"/>
          </w:tcPr>
          <w:p w:rsidR="00B352F9" w:rsidRDefault="00B352F9" w:rsidP="002D49C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Fecha: 1</w:t>
            </w:r>
            <w:r w:rsidR="002D49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de enero de 201</w:t>
            </w:r>
            <w:r w:rsidR="002D49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B352F9" w:rsidRDefault="00B352F9" w:rsidP="004878EF">
      <w:pPr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B352F9" w:rsidRDefault="00B352F9" w:rsidP="004878EF">
      <w:pPr>
        <w:rPr>
          <w:rFonts w:ascii="Arial" w:hAnsi="Arial" w:cs="Arial"/>
          <w:b/>
          <w:caps/>
          <w:sz w:val="20"/>
          <w:szCs w:val="20"/>
          <w:lang w:val="es-PE"/>
        </w:rPr>
      </w:pPr>
    </w:p>
    <w:p w:rsidR="00B352F9" w:rsidRDefault="00B352F9" w:rsidP="004878EF">
      <w:pPr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s-PE"/>
        </w:rPr>
        <w:t>DISPOSICIONES EN EL PODER EJECUTIVO</w:t>
      </w:r>
    </w:p>
    <w:p w:rsidR="00B352F9" w:rsidRDefault="00B352F9" w:rsidP="004878EF">
      <w:pPr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3211"/>
        <w:gridCol w:w="1901"/>
        <w:gridCol w:w="6311"/>
      </w:tblGrid>
      <w:tr w:rsidR="00B352F9" w:rsidTr="004878EF">
        <w:tc>
          <w:tcPr>
            <w:tcW w:w="2795" w:type="dxa"/>
            <w:shd w:val="clear" w:color="auto" w:fill="D9D9D9"/>
            <w:vAlign w:val="center"/>
          </w:tcPr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NORMA</w:t>
            </w:r>
          </w:p>
        </w:tc>
        <w:tc>
          <w:tcPr>
            <w:tcW w:w="3211" w:type="dxa"/>
            <w:shd w:val="clear" w:color="auto" w:fill="D9D9D9"/>
            <w:vAlign w:val="center"/>
          </w:tcPr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1901" w:type="dxa"/>
            <w:shd w:val="clear" w:color="auto" w:fill="D9D9D9"/>
            <w:vAlign w:val="center"/>
          </w:tcPr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ORGANISMO EMISOR</w:t>
            </w:r>
          </w:p>
        </w:tc>
        <w:tc>
          <w:tcPr>
            <w:tcW w:w="6311" w:type="dxa"/>
            <w:shd w:val="clear" w:color="auto" w:fill="D9D9D9"/>
            <w:vAlign w:val="center"/>
          </w:tcPr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RESUMEN</w:t>
            </w:r>
          </w:p>
        </w:tc>
      </w:tr>
      <w:tr w:rsidR="00B352F9" w:rsidTr="00B73BBF">
        <w:trPr>
          <w:trHeight w:val="4324"/>
        </w:trPr>
        <w:tc>
          <w:tcPr>
            <w:tcW w:w="2795" w:type="dxa"/>
            <w:vAlign w:val="center"/>
          </w:tcPr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Decreto Supremo </w:t>
            </w:r>
          </w:p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Nº 00</w:t>
            </w:r>
            <w:r w:rsidR="00EA0BA8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-201</w:t>
            </w:r>
            <w:r w:rsidR="00EA0BA8"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-EF</w:t>
            </w:r>
          </w:p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B352F9" w:rsidRDefault="00B352F9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11" w:type="dxa"/>
            <w:vAlign w:val="center"/>
          </w:tcPr>
          <w:p w:rsidR="00B352F9" w:rsidRDefault="00B352F9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352F9" w:rsidRDefault="00B352F9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Dictan disposiciones reglamentarias para el otorgamiento de la Bonificación por Escolaridad</w:t>
            </w:r>
          </w:p>
        </w:tc>
        <w:tc>
          <w:tcPr>
            <w:tcW w:w="1901" w:type="dxa"/>
            <w:vAlign w:val="center"/>
          </w:tcPr>
          <w:p w:rsidR="00B352F9" w:rsidRDefault="00B352F9" w:rsidP="004878EF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Ministerio de Economía y Finanzas</w:t>
            </w:r>
          </w:p>
        </w:tc>
        <w:tc>
          <w:tcPr>
            <w:tcW w:w="6311" w:type="dxa"/>
            <w:vAlign w:val="center"/>
          </w:tcPr>
          <w:p w:rsidR="00B352F9" w:rsidRPr="005235EF" w:rsidRDefault="00B352F9" w:rsidP="005235EF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235EF">
              <w:rPr>
                <w:rFonts w:ascii="Arial" w:hAnsi="Arial" w:cs="Arial"/>
                <w:sz w:val="19"/>
                <w:szCs w:val="19"/>
              </w:rPr>
              <w:t xml:space="preserve">El presente Decreto Supremo tiene por objeto establecer disposiciones reglamentarias para el otorgamiento de la Bonificación por Escolaridad cuyo monto fijado por la Ley Nº </w:t>
            </w:r>
            <w:r w:rsidR="002D49C8">
              <w:rPr>
                <w:rFonts w:ascii="Arial" w:hAnsi="Arial" w:cs="Arial"/>
                <w:sz w:val="19"/>
                <w:szCs w:val="19"/>
              </w:rPr>
              <w:t>30114</w:t>
            </w:r>
            <w:r w:rsidRPr="005235EF">
              <w:rPr>
                <w:rFonts w:ascii="Arial" w:hAnsi="Arial" w:cs="Arial"/>
                <w:sz w:val="19"/>
                <w:szCs w:val="19"/>
              </w:rPr>
              <w:t>, Ley de Presupuesto para el Sector Público para el Año Fiscal 201</w:t>
            </w:r>
            <w:r w:rsidR="002D49C8">
              <w:rPr>
                <w:rFonts w:ascii="Arial" w:hAnsi="Arial" w:cs="Arial"/>
                <w:sz w:val="19"/>
                <w:szCs w:val="19"/>
              </w:rPr>
              <w:t>4</w:t>
            </w:r>
            <w:r w:rsidRPr="005235EF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235EF">
              <w:rPr>
                <w:rFonts w:ascii="Arial" w:hAnsi="Arial" w:cs="Arial"/>
                <w:b/>
                <w:sz w:val="19"/>
                <w:szCs w:val="19"/>
              </w:rPr>
              <w:t xml:space="preserve">corresponde a la suma de </w:t>
            </w:r>
            <w:r w:rsidRPr="0020774E">
              <w:rPr>
                <w:rFonts w:ascii="Arial" w:hAnsi="Arial" w:cs="Arial"/>
                <w:b/>
                <w:sz w:val="19"/>
                <w:szCs w:val="19"/>
              </w:rPr>
              <w:t>S</w:t>
            </w:r>
            <w:proofErr w:type="gramStart"/>
            <w:r w:rsidRPr="0020774E">
              <w:rPr>
                <w:rFonts w:ascii="Arial" w:hAnsi="Arial" w:cs="Arial"/>
                <w:b/>
                <w:sz w:val="19"/>
                <w:szCs w:val="19"/>
              </w:rPr>
              <w:t>./</w:t>
            </w:r>
            <w:proofErr w:type="gramEnd"/>
            <w:r w:rsidRPr="005235EF">
              <w:rPr>
                <w:rFonts w:ascii="Arial" w:hAnsi="Arial" w:cs="Arial"/>
                <w:b/>
                <w:sz w:val="19"/>
                <w:szCs w:val="19"/>
              </w:rPr>
              <w:t xml:space="preserve"> 400.00</w:t>
            </w:r>
            <w:r w:rsidRPr="005235EF">
              <w:rPr>
                <w:rFonts w:ascii="Arial" w:hAnsi="Arial" w:cs="Arial"/>
                <w:sz w:val="19"/>
                <w:szCs w:val="19"/>
              </w:rPr>
              <w:t>, la cual se abona, por única vez en la planilla de pagos del mes de enero de 201</w:t>
            </w:r>
            <w:r w:rsidR="002D49C8">
              <w:rPr>
                <w:rFonts w:ascii="Arial" w:hAnsi="Arial" w:cs="Arial"/>
                <w:sz w:val="19"/>
                <w:szCs w:val="19"/>
              </w:rPr>
              <w:t>4</w:t>
            </w:r>
            <w:r w:rsidRPr="005235E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352F9" w:rsidRPr="005235EF" w:rsidRDefault="00B352F9" w:rsidP="005235EF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235EF">
              <w:rPr>
                <w:rFonts w:ascii="Arial" w:hAnsi="Arial" w:cs="Arial"/>
                <w:b/>
                <w:sz w:val="19"/>
                <w:szCs w:val="19"/>
              </w:rPr>
              <w:t xml:space="preserve">Los trabajadores del Sector Público </w:t>
            </w:r>
            <w:r w:rsidRPr="0020774E">
              <w:rPr>
                <w:rFonts w:ascii="Arial" w:hAnsi="Arial" w:cs="Arial"/>
                <w:b/>
                <w:sz w:val="19"/>
                <w:szCs w:val="19"/>
              </w:rPr>
              <w:t>que se encuentre</w:t>
            </w:r>
            <w:r w:rsidR="00FB09DD" w:rsidRPr="0020774E">
              <w:rPr>
                <w:rFonts w:ascii="Arial" w:hAnsi="Arial" w:cs="Arial"/>
                <w:b/>
                <w:sz w:val="19"/>
                <w:szCs w:val="19"/>
              </w:rPr>
              <w:t>n</w:t>
            </w:r>
            <w:r w:rsidRPr="0020774E">
              <w:rPr>
                <w:rFonts w:ascii="Arial" w:hAnsi="Arial" w:cs="Arial"/>
                <w:b/>
                <w:sz w:val="19"/>
                <w:szCs w:val="19"/>
              </w:rPr>
              <w:t xml:space="preserve"> bajo</w:t>
            </w:r>
            <w:r w:rsidRPr="005235EF">
              <w:rPr>
                <w:rFonts w:ascii="Arial" w:hAnsi="Arial" w:cs="Arial"/>
                <w:b/>
                <w:sz w:val="19"/>
                <w:szCs w:val="19"/>
              </w:rPr>
              <w:t xml:space="preserve"> el régimen laboral de la actividad privada perciben la bonificación por escolaridad</w:t>
            </w:r>
            <w:r w:rsidRPr="005235EF">
              <w:rPr>
                <w:rFonts w:ascii="Arial" w:hAnsi="Arial" w:cs="Arial"/>
                <w:sz w:val="19"/>
                <w:szCs w:val="19"/>
              </w:rPr>
              <w:t xml:space="preserve">, conforme al numeral 7.2 del artículo 7º de la Ley Nº </w:t>
            </w:r>
            <w:r w:rsidR="005A457C">
              <w:rPr>
                <w:rFonts w:ascii="Arial" w:hAnsi="Arial" w:cs="Arial"/>
                <w:sz w:val="19"/>
                <w:szCs w:val="19"/>
              </w:rPr>
              <w:t>30114</w:t>
            </w:r>
            <w:r w:rsidRPr="005235E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352F9" w:rsidRPr="00301DC4" w:rsidRDefault="00B352F9" w:rsidP="00B73BBF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7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Las entidades públicas que habitualmente han otorgado la Bonificación por Escolaridad, independientemente de su régimen laboral, no podrán fijar montos superiores a S/. 400.00, bajo responsabilidad del Jefe de la Oficina General de Administración o quien haga sus veces, salvo que, por disposición legal, vengan entregando un monto distinto al señalado anteriormente. </w:t>
            </w:r>
          </w:p>
          <w:p w:rsidR="00B352F9" w:rsidRPr="00B73BBF" w:rsidRDefault="00B352F9" w:rsidP="00B73BBF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7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3BBF">
              <w:rPr>
                <w:rFonts w:ascii="Arial" w:hAnsi="Arial" w:cs="Arial"/>
                <w:sz w:val="19"/>
                <w:szCs w:val="19"/>
              </w:rPr>
              <w:t xml:space="preserve">Las disposiciones del presente 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Pr="00B73BBF">
              <w:rPr>
                <w:rFonts w:ascii="Arial" w:hAnsi="Arial" w:cs="Arial"/>
                <w:sz w:val="19"/>
                <w:szCs w:val="19"/>
              </w:rPr>
              <w:t>ecreto</w:t>
            </w:r>
            <w:r>
              <w:rPr>
                <w:rFonts w:ascii="Arial" w:hAnsi="Arial" w:cs="Arial"/>
                <w:sz w:val="19"/>
                <w:szCs w:val="19"/>
              </w:rPr>
              <w:t xml:space="preserve"> Supremo</w:t>
            </w:r>
            <w:r w:rsidRPr="00B73BBF">
              <w:rPr>
                <w:rFonts w:ascii="Arial" w:hAnsi="Arial" w:cs="Arial"/>
                <w:sz w:val="19"/>
                <w:szCs w:val="19"/>
              </w:rPr>
              <w:t xml:space="preserve"> no son de alcance a las </w:t>
            </w:r>
            <w:r>
              <w:rPr>
                <w:rFonts w:ascii="Arial" w:hAnsi="Arial" w:cs="Arial"/>
                <w:sz w:val="19"/>
                <w:szCs w:val="19"/>
              </w:rPr>
              <w:t xml:space="preserve">personas </w:t>
            </w:r>
            <w:r w:rsidRPr="00B73BBF">
              <w:rPr>
                <w:rFonts w:ascii="Arial" w:hAnsi="Arial" w:cs="Arial"/>
                <w:sz w:val="19"/>
                <w:szCs w:val="19"/>
              </w:rPr>
              <w:t xml:space="preserve">contratadas bajo el régimen especial de Contratación Administrativa de Servicios – CAS o que prestan servicios bajo la modalidad de </w:t>
            </w: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Pr="00B73BBF">
              <w:rPr>
                <w:rFonts w:ascii="Arial" w:hAnsi="Arial" w:cs="Arial"/>
                <w:sz w:val="19"/>
                <w:szCs w:val="19"/>
              </w:rPr>
              <w:t xml:space="preserve">ocación de 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B73BBF">
              <w:rPr>
                <w:rFonts w:ascii="Arial" w:hAnsi="Arial" w:cs="Arial"/>
                <w:sz w:val="19"/>
                <w:szCs w:val="19"/>
              </w:rPr>
              <w:t>ervicios.</w:t>
            </w:r>
          </w:p>
        </w:tc>
      </w:tr>
    </w:tbl>
    <w:p w:rsidR="00B352F9" w:rsidRDefault="00B352F9" w:rsidP="004878EF">
      <w:pPr>
        <w:rPr>
          <w:szCs w:val="22"/>
        </w:rPr>
      </w:pPr>
    </w:p>
    <w:p w:rsidR="00B352F9" w:rsidRDefault="00B352F9">
      <w:bookmarkStart w:id="0" w:name="_GoBack"/>
      <w:bookmarkEnd w:id="0"/>
    </w:p>
    <w:sectPr w:rsidR="00B352F9" w:rsidSect="004878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526"/>
    <w:multiLevelType w:val="hybridMultilevel"/>
    <w:tmpl w:val="59B4D128"/>
    <w:lvl w:ilvl="0" w:tplc="0C0A0017">
      <w:start w:val="1"/>
      <w:numFmt w:val="lowerLetter"/>
      <w:lvlText w:val="%1)"/>
      <w:lvlJc w:val="left"/>
      <w:pPr>
        <w:ind w:left="103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">
    <w:nsid w:val="1DEB74EC"/>
    <w:multiLevelType w:val="hybridMultilevel"/>
    <w:tmpl w:val="91F2667C"/>
    <w:lvl w:ilvl="0" w:tplc="E03E666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6021F1"/>
    <w:multiLevelType w:val="hybridMultilevel"/>
    <w:tmpl w:val="961AFD68"/>
    <w:lvl w:ilvl="0" w:tplc="D06C6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EF"/>
    <w:rsid w:val="001A0F57"/>
    <w:rsid w:val="001D08AD"/>
    <w:rsid w:val="0020774E"/>
    <w:rsid w:val="002B52B2"/>
    <w:rsid w:val="002D49C8"/>
    <w:rsid w:val="00301DC4"/>
    <w:rsid w:val="003F3A25"/>
    <w:rsid w:val="00421816"/>
    <w:rsid w:val="00475E54"/>
    <w:rsid w:val="004878EF"/>
    <w:rsid w:val="005219C4"/>
    <w:rsid w:val="005235EF"/>
    <w:rsid w:val="00572CA2"/>
    <w:rsid w:val="00576F1E"/>
    <w:rsid w:val="005A457C"/>
    <w:rsid w:val="005E6485"/>
    <w:rsid w:val="00685FDF"/>
    <w:rsid w:val="00806C13"/>
    <w:rsid w:val="00886BE3"/>
    <w:rsid w:val="00934B96"/>
    <w:rsid w:val="00A96D3F"/>
    <w:rsid w:val="00AC3AB1"/>
    <w:rsid w:val="00B352F9"/>
    <w:rsid w:val="00B73BBF"/>
    <w:rsid w:val="00BA0368"/>
    <w:rsid w:val="00C81C00"/>
    <w:rsid w:val="00D148EA"/>
    <w:rsid w:val="00E82308"/>
    <w:rsid w:val="00EA0BA8"/>
    <w:rsid w:val="00F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Ernesto Tucto</cp:lastModifiedBy>
  <cp:revision>6</cp:revision>
  <dcterms:created xsi:type="dcterms:W3CDTF">2014-01-10T14:00:00Z</dcterms:created>
  <dcterms:modified xsi:type="dcterms:W3CDTF">2014-01-10T17:01:00Z</dcterms:modified>
</cp:coreProperties>
</file>