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DF" w:rsidRPr="001044DD" w:rsidRDefault="005D0FDF" w:rsidP="00754A5C">
      <w:pPr>
        <w:spacing w:line="10" w:lineRule="atLeast"/>
        <w:ind w:left="708" w:hanging="708"/>
        <w:jc w:val="center"/>
        <w:rPr>
          <w:rFonts w:ascii="Arial" w:hAnsi="Arial" w:cs="Arial"/>
          <w:b/>
          <w:sz w:val="36"/>
          <w:szCs w:val="36"/>
        </w:rPr>
      </w:pPr>
      <w:r w:rsidRPr="001044DD">
        <w:rPr>
          <w:rFonts w:ascii="Arial" w:hAnsi="Arial" w:cs="Arial"/>
          <w:b/>
          <w:sz w:val="36"/>
          <w:szCs w:val="36"/>
        </w:rPr>
        <w:t>REPORTE DE NORMAS LEGALES</w:t>
      </w:r>
    </w:p>
    <w:p w:rsidR="00470251" w:rsidRPr="0088709B" w:rsidRDefault="00470251" w:rsidP="00754A5C">
      <w:pPr>
        <w:spacing w:line="10" w:lineRule="atLeast"/>
        <w:ind w:left="708" w:hanging="708"/>
        <w:jc w:val="center"/>
        <w:rPr>
          <w:rFonts w:ascii="Arial" w:hAnsi="Arial" w:cs="Arial"/>
          <w:b/>
        </w:rPr>
      </w:pPr>
    </w:p>
    <w:p w:rsidR="005D0FDF" w:rsidRPr="00C9008F" w:rsidRDefault="005D0FDF" w:rsidP="00680F19">
      <w:pPr>
        <w:spacing w:line="360" w:lineRule="auto"/>
        <w:rPr>
          <w:rFonts w:ascii="Arial" w:hAnsi="Arial" w:cs="Arial"/>
          <w:sz w:val="20"/>
          <w:szCs w:val="20"/>
        </w:rPr>
      </w:pPr>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71"/>
      </w:tblGrid>
      <w:tr w:rsidR="005D0FDF" w:rsidRPr="00C9008F" w:rsidTr="001044DD">
        <w:tc>
          <w:tcPr>
            <w:tcW w:w="737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hideMark/>
          </w:tcPr>
          <w:p w:rsidR="00680F19" w:rsidRPr="00680F19" w:rsidRDefault="00680F19" w:rsidP="00680F19">
            <w:pPr>
              <w:tabs>
                <w:tab w:val="center" w:pos="4513"/>
                <w:tab w:val="left" w:pos="6331"/>
              </w:tabs>
              <w:spacing w:line="360" w:lineRule="auto"/>
              <w:jc w:val="center"/>
              <w:rPr>
                <w:rFonts w:ascii="Arial" w:hAnsi="Arial" w:cs="Arial"/>
                <w:b/>
                <w:sz w:val="4"/>
                <w:szCs w:val="4"/>
                <w:lang w:val="es-PE" w:eastAsia="es-PE"/>
              </w:rPr>
            </w:pPr>
          </w:p>
          <w:p w:rsidR="005D0FDF" w:rsidRPr="0088709B" w:rsidRDefault="008368BE" w:rsidP="00420EBE">
            <w:pPr>
              <w:tabs>
                <w:tab w:val="center" w:pos="4513"/>
                <w:tab w:val="left" w:pos="6331"/>
              </w:tabs>
              <w:spacing w:line="360" w:lineRule="auto"/>
              <w:jc w:val="center"/>
              <w:rPr>
                <w:rFonts w:ascii="Arial" w:hAnsi="Arial" w:cs="Arial"/>
                <w:b/>
                <w:lang w:val="es-PE" w:eastAsia="es-PE"/>
              </w:rPr>
            </w:pPr>
            <w:r>
              <w:rPr>
                <w:rFonts w:ascii="Arial" w:hAnsi="Arial" w:cs="Arial"/>
                <w:b/>
                <w:lang w:val="es-PE" w:eastAsia="es-PE"/>
              </w:rPr>
              <w:t>0</w:t>
            </w:r>
            <w:r w:rsidR="00420EBE">
              <w:rPr>
                <w:rFonts w:ascii="Arial" w:hAnsi="Arial" w:cs="Arial"/>
                <w:b/>
                <w:lang w:val="es-PE" w:eastAsia="es-PE"/>
              </w:rPr>
              <w:t>7</w:t>
            </w:r>
            <w:r w:rsidR="005D0FDF" w:rsidRPr="0088709B">
              <w:rPr>
                <w:rFonts w:ascii="Arial" w:hAnsi="Arial" w:cs="Arial"/>
                <w:b/>
                <w:lang w:val="es-PE" w:eastAsia="es-PE"/>
              </w:rPr>
              <w:t xml:space="preserve"> de </w:t>
            </w:r>
            <w:r w:rsidR="000F3C89" w:rsidRPr="0088709B">
              <w:rPr>
                <w:rFonts w:ascii="Arial" w:hAnsi="Arial" w:cs="Arial"/>
                <w:b/>
                <w:lang w:val="es-PE" w:eastAsia="es-PE"/>
              </w:rPr>
              <w:t>e</w:t>
            </w:r>
            <w:r w:rsidR="00B7305F">
              <w:rPr>
                <w:rFonts w:ascii="Arial" w:hAnsi="Arial" w:cs="Arial"/>
                <w:b/>
                <w:lang w:val="es-PE" w:eastAsia="es-PE"/>
              </w:rPr>
              <w:t>nero</w:t>
            </w:r>
            <w:r w:rsidR="005D0FDF" w:rsidRPr="0088709B">
              <w:rPr>
                <w:rFonts w:ascii="Arial" w:hAnsi="Arial" w:cs="Arial"/>
                <w:b/>
                <w:lang w:val="es-PE" w:eastAsia="es-PE"/>
              </w:rPr>
              <w:t xml:space="preserve"> de 201</w:t>
            </w:r>
            <w:r w:rsidR="00B7305F">
              <w:rPr>
                <w:rFonts w:ascii="Arial" w:hAnsi="Arial" w:cs="Arial"/>
                <w:b/>
                <w:lang w:val="es-PE" w:eastAsia="es-PE"/>
              </w:rPr>
              <w:t>4</w:t>
            </w:r>
          </w:p>
        </w:tc>
      </w:tr>
    </w:tbl>
    <w:p w:rsidR="00C1079A" w:rsidRDefault="00C1079A" w:rsidP="00680F19">
      <w:pPr>
        <w:spacing w:line="360" w:lineRule="auto"/>
        <w:outlineLvl w:val="0"/>
        <w:rPr>
          <w:rFonts w:ascii="Arial" w:hAnsi="Arial" w:cs="Arial"/>
          <w:b/>
          <w:caps/>
          <w:sz w:val="20"/>
          <w:szCs w:val="20"/>
          <w:lang w:val="es-PE"/>
        </w:rPr>
      </w:pPr>
    </w:p>
    <w:p w:rsidR="00CD709B" w:rsidRDefault="00CD709B" w:rsidP="00CE585A">
      <w:pPr>
        <w:spacing w:line="10" w:lineRule="atLeast"/>
        <w:jc w:val="center"/>
        <w:outlineLvl w:val="0"/>
        <w:rPr>
          <w:rFonts w:ascii="Arial" w:hAnsi="Arial" w:cs="Arial"/>
          <w:b/>
          <w:caps/>
          <w:sz w:val="20"/>
          <w:szCs w:val="20"/>
          <w:lang w:val="es-PE"/>
        </w:rPr>
      </w:pPr>
    </w:p>
    <w:p w:rsidR="0003271D" w:rsidRDefault="0003271D" w:rsidP="00CE585A">
      <w:pPr>
        <w:spacing w:line="10" w:lineRule="atLeast"/>
        <w:jc w:val="center"/>
        <w:outlineLvl w:val="0"/>
        <w:rPr>
          <w:rFonts w:ascii="Arial" w:hAnsi="Arial" w:cs="Arial"/>
          <w:b/>
          <w:caps/>
          <w:sz w:val="20"/>
          <w:szCs w:val="20"/>
          <w:lang w:val="es-PE"/>
        </w:rPr>
      </w:pPr>
      <w:r w:rsidRPr="00C9008F">
        <w:rPr>
          <w:rFonts w:ascii="Arial" w:hAnsi="Arial" w:cs="Arial"/>
          <w:b/>
          <w:caps/>
          <w:sz w:val="20"/>
          <w:szCs w:val="20"/>
          <w:lang w:val="es-PE"/>
        </w:rPr>
        <w:t xml:space="preserve">Disposiciones en </w:t>
      </w:r>
      <w:r w:rsidR="00852A8D">
        <w:rPr>
          <w:rFonts w:ascii="Arial" w:hAnsi="Arial" w:cs="Arial"/>
          <w:b/>
          <w:caps/>
          <w:sz w:val="20"/>
          <w:szCs w:val="20"/>
          <w:lang w:val="es-PE"/>
        </w:rPr>
        <w:t>L</w:t>
      </w:r>
      <w:r w:rsidR="00535FBB">
        <w:rPr>
          <w:rFonts w:ascii="Arial" w:hAnsi="Arial" w:cs="Arial"/>
          <w:b/>
          <w:caps/>
          <w:sz w:val="20"/>
          <w:szCs w:val="20"/>
          <w:lang w:val="es-PE"/>
        </w:rPr>
        <w:t>OS</w:t>
      </w:r>
      <w:r w:rsidR="00852A8D">
        <w:rPr>
          <w:rFonts w:ascii="Arial" w:hAnsi="Arial" w:cs="Arial"/>
          <w:b/>
          <w:caps/>
          <w:sz w:val="20"/>
          <w:szCs w:val="20"/>
          <w:lang w:val="es-PE"/>
        </w:rPr>
        <w:t xml:space="preserve"> </w:t>
      </w:r>
      <w:r w:rsidR="008368BE">
        <w:rPr>
          <w:rFonts w:ascii="Arial" w:hAnsi="Arial" w:cs="Arial"/>
          <w:b/>
          <w:caps/>
          <w:sz w:val="20"/>
          <w:szCs w:val="20"/>
          <w:lang w:val="es-PE"/>
        </w:rPr>
        <w:t>O</w:t>
      </w:r>
      <w:r w:rsidR="00535FBB">
        <w:rPr>
          <w:rFonts w:ascii="Arial" w:hAnsi="Arial" w:cs="Arial"/>
          <w:b/>
          <w:caps/>
          <w:sz w:val="20"/>
          <w:szCs w:val="20"/>
          <w:lang w:val="es-PE"/>
        </w:rPr>
        <w:t>RGANISMOS TÉCNICOS ESPECIALIZADOS</w:t>
      </w:r>
    </w:p>
    <w:p w:rsidR="005D7C28" w:rsidRDefault="005D7C28" w:rsidP="00CE585A">
      <w:pPr>
        <w:spacing w:line="10" w:lineRule="atLeast"/>
        <w:jc w:val="center"/>
        <w:outlineLvl w:val="0"/>
        <w:rPr>
          <w:rFonts w:ascii="Arial" w:hAnsi="Arial" w:cs="Arial"/>
          <w:b/>
          <w:caps/>
          <w:sz w:val="20"/>
          <w:szCs w:val="20"/>
          <w:lang w:val="es-PE"/>
        </w:rPr>
      </w:pPr>
    </w:p>
    <w:p w:rsidR="0070456D" w:rsidRDefault="0070456D" w:rsidP="00CE585A">
      <w:pPr>
        <w:spacing w:line="10" w:lineRule="atLeast"/>
        <w:jc w:val="center"/>
        <w:outlineLvl w:val="0"/>
        <w:rPr>
          <w:rFonts w:ascii="Arial" w:hAnsi="Arial" w:cs="Arial"/>
          <w:b/>
          <w:caps/>
          <w:sz w:val="20"/>
          <w:szCs w:val="20"/>
          <w:lang w:val="es-PE"/>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2551"/>
        <w:gridCol w:w="2552"/>
        <w:gridCol w:w="7087"/>
      </w:tblGrid>
      <w:tr w:rsidR="00CE585A" w:rsidRPr="00C9008F" w:rsidTr="00680F19">
        <w:trPr>
          <w:trHeight w:val="593"/>
        </w:trPr>
        <w:tc>
          <w:tcPr>
            <w:tcW w:w="241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CE585A" w:rsidRPr="0088709B" w:rsidRDefault="00CE585A" w:rsidP="00CE585A">
            <w:pPr>
              <w:spacing w:line="276" w:lineRule="auto"/>
              <w:jc w:val="center"/>
              <w:rPr>
                <w:rFonts w:ascii="Arial" w:hAnsi="Arial" w:cs="Arial"/>
                <w:b/>
                <w:sz w:val="20"/>
                <w:szCs w:val="20"/>
                <w:lang w:val="es-PE" w:eastAsia="en-US"/>
              </w:rPr>
            </w:pPr>
            <w:r w:rsidRPr="0088709B">
              <w:rPr>
                <w:rFonts w:ascii="Arial" w:hAnsi="Arial" w:cs="Arial"/>
                <w:b/>
                <w:sz w:val="20"/>
                <w:szCs w:val="20"/>
                <w:lang w:val="es-PE" w:eastAsia="en-US"/>
              </w:rPr>
              <w:t>NORMA</w:t>
            </w:r>
          </w:p>
        </w:tc>
        <w:tc>
          <w:tcPr>
            <w:tcW w:w="255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CE585A" w:rsidRPr="0088709B" w:rsidRDefault="00CE585A" w:rsidP="00CE585A">
            <w:pPr>
              <w:spacing w:line="276" w:lineRule="auto"/>
              <w:jc w:val="center"/>
              <w:rPr>
                <w:rFonts w:ascii="Arial" w:hAnsi="Arial" w:cs="Arial"/>
                <w:b/>
                <w:sz w:val="20"/>
                <w:szCs w:val="20"/>
                <w:lang w:val="es-PE" w:eastAsia="en-US"/>
              </w:rPr>
            </w:pPr>
            <w:r w:rsidRPr="0088709B">
              <w:rPr>
                <w:rFonts w:ascii="Arial" w:hAnsi="Arial" w:cs="Arial"/>
                <w:b/>
                <w:sz w:val="20"/>
                <w:szCs w:val="20"/>
                <w:lang w:val="es-PE" w:eastAsia="en-US"/>
              </w:rPr>
              <w:t>TÍTULO</w:t>
            </w:r>
          </w:p>
        </w:tc>
        <w:tc>
          <w:tcPr>
            <w:tcW w:w="25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CE585A" w:rsidRPr="0088709B" w:rsidRDefault="00CE585A" w:rsidP="00CE585A">
            <w:pPr>
              <w:spacing w:line="276" w:lineRule="auto"/>
              <w:jc w:val="center"/>
              <w:rPr>
                <w:rFonts w:ascii="Arial" w:hAnsi="Arial" w:cs="Arial"/>
                <w:b/>
                <w:sz w:val="20"/>
                <w:szCs w:val="20"/>
                <w:lang w:val="es-PE" w:eastAsia="en-US"/>
              </w:rPr>
            </w:pPr>
            <w:r w:rsidRPr="0088709B">
              <w:rPr>
                <w:rFonts w:ascii="Arial" w:hAnsi="Arial" w:cs="Arial"/>
                <w:b/>
                <w:sz w:val="20"/>
                <w:szCs w:val="20"/>
                <w:lang w:val="es-PE" w:eastAsia="en-US"/>
              </w:rPr>
              <w:t>ORGANISMO EMISOR</w:t>
            </w:r>
          </w:p>
        </w:tc>
        <w:tc>
          <w:tcPr>
            <w:tcW w:w="708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CE585A" w:rsidRPr="0088709B" w:rsidRDefault="00CE585A" w:rsidP="00CE585A">
            <w:pPr>
              <w:spacing w:line="276" w:lineRule="auto"/>
              <w:jc w:val="center"/>
              <w:rPr>
                <w:rFonts w:ascii="Arial" w:hAnsi="Arial" w:cs="Arial"/>
                <w:b/>
                <w:sz w:val="20"/>
                <w:szCs w:val="20"/>
                <w:lang w:val="es-PE" w:eastAsia="en-US"/>
              </w:rPr>
            </w:pPr>
            <w:r w:rsidRPr="0088709B">
              <w:rPr>
                <w:rFonts w:ascii="Arial" w:hAnsi="Arial" w:cs="Arial"/>
                <w:b/>
                <w:sz w:val="20"/>
                <w:szCs w:val="20"/>
                <w:lang w:val="es-PE" w:eastAsia="en-US"/>
              </w:rPr>
              <w:t>RESUMEN</w:t>
            </w:r>
          </w:p>
        </w:tc>
      </w:tr>
      <w:tr w:rsidR="00CE585A" w:rsidRPr="00C9008F" w:rsidTr="00680F19">
        <w:trPr>
          <w:trHeight w:val="1210"/>
        </w:trPr>
        <w:tc>
          <w:tcPr>
            <w:tcW w:w="2411" w:type="dxa"/>
            <w:tcBorders>
              <w:top w:val="single" w:sz="4" w:space="0" w:color="auto"/>
              <w:left w:val="single" w:sz="4" w:space="0" w:color="auto"/>
              <w:bottom w:val="single" w:sz="4" w:space="0" w:color="auto"/>
              <w:right w:val="single" w:sz="4" w:space="0" w:color="auto"/>
            </w:tcBorders>
            <w:vAlign w:val="center"/>
          </w:tcPr>
          <w:p w:rsidR="002B379B" w:rsidRPr="00F048C7" w:rsidRDefault="003C6055" w:rsidP="006B6B22">
            <w:pPr>
              <w:spacing w:line="276" w:lineRule="auto"/>
              <w:jc w:val="center"/>
              <w:rPr>
                <w:rFonts w:ascii="Arial" w:hAnsi="Arial" w:cs="Arial"/>
                <w:sz w:val="19"/>
                <w:szCs w:val="19"/>
                <w:lang w:val="es-PE" w:eastAsia="en-US"/>
              </w:rPr>
            </w:pPr>
            <w:r>
              <w:rPr>
                <w:rFonts w:ascii="Arial" w:hAnsi="Arial" w:cs="Arial"/>
                <w:sz w:val="19"/>
                <w:szCs w:val="19"/>
                <w:lang w:val="es-PE" w:eastAsia="en-US"/>
              </w:rPr>
              <w:t>Resolución</w:t>
            </w:r>
            <w:r w:rsidR="00A74A7E">
              <w:rPr>
                <w:rFonts w:ascii="Arial" w:hAnsi="Arial" w:cs="Arial"/>
                <w:sz w:val="19"/>
                <w:szCs w:val="19"/>
                <w:lang w:val="es-PE" w:eastAsia="en-US"/>
              </w:rPr>
              <w:t xml:space="preserve"> del Presidente del Tribunal</w:t>
            </w:r>
            <w:r>
              <w:rPr>
                <w:rFonts w:ascii="Arial" w:hAnsi="Arial" w:cs="Arial"/>
                <w:sz w:val="19"/>
                <w:szCs w:val="19"/>
                <w:lang w:val="es-PE" w:eastAsia="en-US"/>
              </w:rPr>
              <w:t xml:space="preserve"> Nº 346-2013-SUNARP/PT</w:t>
            </w:r>
            <w:r w:rsidRPr="00F048C7">
              <w:rPr>
                <w:rFonts w:ascii="Arial" w:hAnsi="Arial" w:cs="Arial"/>
                <w:sz w:val="19"/>
                <w:szCs w:val="19"/>
                <w:lang w:val="es-PE" w:eastAsia="en-US"/>
              </w:rPr>
              <w:t xml:space="preserve"> </w:t>
            </w:r>
            <w:r w:rsidR="002B379B" w:rsidRPr="00B7086D">
              <w:rPr>
                <w:rFonts w:ascii="Arial" w:hAnsi="Arial" w:cs="Arial"/>
                <w:sz w:val="19"/>
                <w:szCs w:val="19"/>
                <w:lang w:val="es-PE" w:eastAsia="en-US"/>
              </w:rPr>
              <w:t>(</w:t>
            </w:r>
            <w:r w:rsidR="000D64F7" w:rsidRPr="00B7086D">
              <w:rPr>
                <w:rFonts w:ascii="Arial" w:hAnsi="Arial" w:cs="Arial"/>
                <w:sz w:val="19"/>
                <w:szCs w:val="19"/>
                <w:lang w:val="es-PE" w:eastAsia="en-US"/>
              </w:rPr>
              <w:t>27/12/2013</w:t>
            </w:r>
            <w:r w:rsidR="002B379B" w:rsidRPr="00B7086D">
              <w:rPr>
                <w:rFonts w:ascii="Arial" w:hAnsi="Arial" w:cs="Arial"/>
                <w:sz w:val="19"/>
                <w:szCs w:val="19"/>
                <w:lang w:val="es-PE" w:eastAsia="en-US"/>
              </w:rPr>
              <w:t>)</w:t>
            </w:r>
          </w:p>
        </w:tc>
        <w:tc>
          <w:tcPr>
            <w:tcW w:w="2551" w:type="dxa"/>
            <w:tcBorders>
              <w:top w:val="single" w:sz="4" w:space="0" w:color="auto"/>
              <w:left w:val="single" w:sz="4" w:space="0" w:color="auto"/>
              <w:bottom w:val="single" w:sz="4" w:space="0" w:color="auto"/>
              <w:right w:val="single" w:sz="4" w:space="0" w:color="auto"/>
            </w:tcBorders>
            <w:vAlign w:val="center"/>
          </w:tcPr>
          <w:p w:rsidR="00CE585A" w:rsidRPr="00F048C7" w:rsidRDefault="003C6055" w:rsidP="005C7AA7">
            <w:pPr>
              <w:spacing w:after="200" w:line="276" w:lineRule="auto"/>
              <w:jc w:val="center"/>
              <w:rPr>
                <w:rFonts w:ascii="Arial" w:hAnsi="Arial" w:cs="Arial"/>
                <w:sz w:val="19"/>
                <w:szCs w:val="19"/>
                <w:lang w:eastAsia="es-PE"/>
              </w:rPr>
            </w:pPr>
            <w:r>
              <w:rPr>
                <w:rFonts w:ascii="Arial" w:hAnsi="Arial" w:cs="Arial"/>
                <w:sz w:val="19"/>
                <w:szCs w:val="19"/>
                <w:lang w:eastAsia="es-PE"/>
              </w:rPr>
              <w:t>Disponen publicar precedentes de observancia obligatoria aprobados en sesión ordinaria del Centésimo Décimo Quinto Pleno del Tribunal Registral de la SUNARP</w:t>
            </w:r>
          </w:p>
        </w:tc>
        <w:tc>
          <w:tcPr>
            <w:tcW w:w="2552" w:type="dxa"/>
            <w:tcBorders>
              <w:top w:val="single" w:sz="4" w:space="0" w:color="auto"/>
              <w:left w:val="single" w:sz="4" w:space="0" w:color="auto"/>
              <w:bottom w:val="single" w:sz="4" w:space="0" w:color="auto"/>
              <w:right w:val="single" w:sz="4" w:space="0" w:color="auto"/>
            </w:tcBorders>
            <w:vAlign w:val="center"/>
          </w:tcPr>
          <w:p w:rsidR="00CE585A" w:rsidRPr="00F048C7" w:rsidRDefault="003C6055" w:rsidP="00A61ECE">
            <w:pPr>
              <w:jc w:val="center"/>
              <w:rPr>
                <w:rFonts w:ascii="Arial" w:hAnsi="Arial" w:cs="Arial"/>
                <w:sz w:val="19"/>
                <w:szCs w:val="19"/>
                <w:lang w:val="es-PE" w:eastAsia="en-US"/>
              </w:rPr>
            </w:pPr>
            <w:r>
              <w:rPr>
                <w:rFonts w:ascii="Arial" w:hAnsi="Arial" w:cs="Arial"/>
                <w:sz w:val="19"/>
                <w:szCs w:val="19"/>
                <w:lang w:val="es-PE" w:eastAsia="en-US"/>
              </w:rPr>
              <w:t>Superintendencia Nacional de los Registros Públicos</w:t>
            </w:r>
          </w:p>
        </w:tc>
        <w:tc>
          <w:tcPr>
            <w:tcW w:w="7087" w:type="dxa"/>
            <w:tcBorders>
              <w:top w:val="single" w:sz="4" w:space="0" w:color="auto"/>
              <w:left w:val="single" w:sz="4" w:space="0" w:color="auto"/>
              <w:bottom w:val="single" w:sz="4" w:space="0" w:color="auto"/>
              <w:right w:val="single" w:sz="4" w:space="0" w:color="auto"/>
            </w:tcBorders>
            <w:vAlign w:val="center"/>
          </w:tcPr>
          <w:p w:rsidR="00680F19" w:rsidRPr="00F048C7" w:rsidRDefault="00680F19" w:rsidP="00852A8D">
            <w:pPr>
              <w:pStyle w:val="NormalWeb"/>
              <w:spacing w:before="0" w:beforeAutospacing="0" w:after="0" w:afterAutospacing="0"/>
              <w:rPr>
                <w:color w:val="auto"/>
                <w:sz w:val="19"/>
                <w:szCs w:val="19"/>
                <w:lang w:eastAsia="es-PE"/>
              </w:rPr>
            </w:pPr>
          </w:p>
          <w:p w:rsidR="00B7086D" w:rsidRPr="00B7086D" w:rsidRDefault="00F04852" w:rsidP="00B7086D">
            <w:pPr>
              <w:pStyle w:val="Prrafodelista"/>
              <w:numPr>
                <w:ilvl w:val="0"/>
                <w:numId w:val="29"/>
              </w:numPr>
              <w:jc w:val="both"/>
              <w:rPr>
                <w:sz w:val="19"/>
                <w:szCs w:val="19"/>
                <w:lang w:eastAsia="es-PE"/>
              </w:rPr>
            </w:pPr>
            <w:r w:rsidRPr="00F048C7">
              <w:rPr>
                <w:rFonts w:ascii="Arial" w:hAnsi="Arial" w:cs="Arial"/>
                <w:sz w:val="19"/>
                <w:szCs w:val="19"/>
                <w:lang w:val="es-PE" w:eastAsia="en-US"/>
              </w:rPr>
              <w:t>Se d</w:t>
            </w:r>
            <w:r w:rsidR="00B7086D">
              <w:rPr>
                <w:rFonts w:ascii="Arial" w:hAnsi="Arial" w:cs="Arial"/>
                <w:sz w:val="19"/>
                <w:szCs w:val="19"/>
                <w:lang w:val="es-PE" w:eastAsia="en-US"/>
              </w:rPr>
              <w:t xml:space="preserve">ispone la publicación de los precedentes de observancia obligatoria aprobados en la sesión ordinaria del Centésimo Décimo Quinto Pleno del Tribunal Registral de la SUNARP, realizado los días 12 y 13 de diciembre de 2013, siendo el texto de los precedentes el siguiente: </w:t>
            </w:r>
          </w:p>
          <w:p w:rsidR="00B7086D" w:rsidRPr="00B7086D" w:rsidRDefault="00B7086D" w:rsidP="00B7086D">
            <w:pPr>
              <w:pStyle w:val="Prrafodelista"/>
              <w:ind w:left="360"/>
              <w:jc w:val="both"/>
              <w:rPr>
                <w:rFonts w:ascii="Arial" w:hAnsi="Arial" w:cs="Arial"/>
                <w:sz w:val="19"/>
                <w:szCs w:val="19"/>
                <w:lang w:val="es-PE" w:eastAsia="en-US"/>
              </w:rPr>
            </w:pPr>
          </w:p>
          <w:p w:rsidR="00B7086D" w:rsidRPr="009C6FDB" w:rsidRDefault="00B7086D" w:rsidP="00B7086D">
            <w:pPr>
              <w:pStyle w:val="Prrafodelista"/>
              <w:numPr>
                <w:ilvl w:val="0"/>
                <w:numId w:val="30"/>
              </w:numPr>
              <w:jc w:val="both"/>
              <w:rPr>
                <w:b/>
                <w:sz w:val="19"/>
                <w:szCs w:val="19"/>
                <w:lang w:eastAsia="es-PE"/>
              </w:rPr>
            </w:pPr>
            <w:r w:rsidRPr="009C6FDB">
              <w:rPr>
                <w:rFonts w:ascii="Arial" w:hAnsi="Arial" w:cs="Arial"/>
                <w:b/>
                <w:sz w:val="19"/>
                <w:szCs w:val="19"/>
                <w:u w:val="single"/>
                <w:lang w:val="es-PE" w:eastAsia="en-US"/>
              </w:rPr>
              <w:t>Tema</w:t>
            </w:r>
            <w:r w:rsidRPr="009C6FDB">
              <w:rPr>
                <w:rFonts w:ascii="Arial" w:hAnsi="Arial" w:cs="Arial"/>
                <w:b/>
                <w:sz w:val="19"/>
                <w:szCs w:val="19"/>
                <w:lang w:val="es-PE" w:eastAsia="en-US"/>
              </w:rPr>
              <w:t>: Inmatriculación</w:t>
            </w:r>
            <w:r w:rsidR="0057450F" w:rsidRPr="009C6FDB">
              <w:rPr>
                <w:rFonts w:ascii="Arial" w:hAnsi="Arial" w:cs="Arial"/>
                <w:b/>
                <w:sz w:val="19"/>
                <w:szCs w:val="19"/>
                <w:lang w:val="es-PE" w:eastAsia="en-US"/>
              </w:rPr>
              <w:t>.</w:t>
            </w:r>
          </w:p>
          <w:p w:rsidR="00B7086D" w:rsidRPr="009C6FDB" w:rsidRDefault="00B7086D" w:rsidP="00B7086D">
            <w:pPr>
              <w:pStyle w:val="Prrafodelista"/>
              <w:jc w:val="both"/>
              <w:rPr>
                <w:rFonts w:ascii="Arial" w:hAnsi="Arial" w:cs="Arial"/>
                <w:b/>
                <w:sz w:val="19"/>
                <w:szCs w:val="19"/>
                <w:lang w:val="es-PE" w:eastAsia="en-US"/>
              </w:rPr>
            </w:pPr>
            <w:r w:rsidRPr="009C6FDB">
              <w:rPr>
                <w:rFonts w:ascii="Arial" w:hAnsi="Arial" w:cs="Arial"/>
                <w:b/>
                <w:sz w:val="19"/>
                <w:szCs w:val="19"/>
                <w:u w:val="single"/>
                <w:lang w:val="es-PE" w:eastAsia="en-US"/>
              </w:rPr>
              <w:t>Sumilla</w:t>
            </w:r>
            <w:r w:rsidRPr="009C6FDB">
              <w:rPr>
                <w:rFonts w:ascii="Arial" w:hAnsi="Arial" w:cs="Arial"/>
                <w:b/>
                <w:sz w:val="19"/>
                <w:szCs w:val="19"/>
                <w:lang w:val="es-PE" w:eastAsia="en-US"/>
              </w:rPr>
              <w:t>: Precisión de tolerancia en Inmatriculaciones</w:t>
            </w:r>
            <w:r w:rsidR="0057450F" w:rsidRPr="009C6FDB">
              <w:rPr>
                <w:rFonts w:ascii="Arial" w:hAnsi="Arial" w:cs="Arial"/>
                <w:b/>
                <w:sz w:val="19"/>
                <w:szCs w:val="19"/>
                <w:lang w:val="es-PE" w:eastAsia="en-US"/>
              </w:rPr>
              <w:t>.</w:t>
            </w:r>
          </w:p>
          <w:p w:rsidR="002678AD" w:rsidRDefault="002678AD" w:rsidP="00B7086D">
            <w:pPr>
              <w:pStyle w:val="Prrafodelista"/>
              <w:jc w:val="both"/>
              <w:rPr>
                <w:rFonts w:ascii="Arial" w:hAnsi="Arial" w:cs="Arial"/>
                <w:sz w:val="19"/>
                <w:szCs w:val="19"/>
                <w:lang w:val="es-PE" w:eastAsia="en-US"/>
              </w:rPr>
            </w:pPr>
          </w:p>
          <w:p w:rsidR="00A74A7E" w:rsidRPr="002678AD" w:rsidRDefault="00A74A7E" w:rsidP="00B7086D">
            <w:pPr>
              <w:pStyle w:val="Prrafodelista"/>
              <w:jc w:val="both"/>
              <w:rPr>
                <w:rFonts w:ascii="Arial" w:hAnsi="Arial" w:cs="Arial"/>
                <w:i/>
                <w:sz w:val="19"/>
                <w:szCs w:val="19"/>
                <w:lang w:val="es-PE" w:eastAsia="en-US"/>
              </w:rPr>
            </w:pPr>
            <w:r w:rsidRPr="002678AD">
              <w:rPr>
                <w:rFonts w:ascii="Arial" w:hAnsi="Arial" w:cs="Arial"/>
                <w:i/>
                <w:sz w:val="19"/>
                <w:szCs w:val="19"/>
                <w:lang w:val="es-PE" w:eastAsia="en-US"/>
              </w:rPr>
              <w:t>“En el caso de inmatriculaciones que colinden con predios no inscritos y no coincidan los valores del plano con los del título de propiedad, procede la inmatriculación conforme al área del plano, siempre que el área de catastro determine que se trata del mismo predio. En estos casos se aplica la tolerancia, prescindiendo de los rangos establecidos en la Directiva Nº 01-2008-SNCP/CNC”.</w:t>
            </w:r>
          </w:p>
          <w:p w:rsidR="00265139" w:rsidRDefault="00265139" w:rsidP="00B7086D">
            <w:pPr>
              <w:pStyle w:val="Prrafodelista"/>
              <w:jc w:val="both"/>
              <w:rPr>
                <w:rFonts w:ascii="Arial" w:hAnsi="Arial" w:cs="Arial"/>
                <w:sz w:val="19"/>
                <w:szCs w:val="19"/>
                <w:lang w:val="es-PE" w:eastAsia="en-US"/>
              </w:rPr>
            </w:pPr>
          </w:p>
          <w:p w:rsidR="00265139" w:rsidRDefault="00265139" w:rsidP="00B7086D">
            <w:pPr>
              <w:pStyle w:val="Prrafodelista"/>
              <w:jc w:val="both"/>
              <w:rPr>
                <w:rFonts w:ascii="Arial" w:hAnsi="Arial" w:cs="Arial"/>
                <w:sz w:val="19"/>
                <w:szCs w:val="19"/>
                <w:lang w:val="es-PE" w:eastAsia="en-US"/>
              </w:rPr>
            </w:pPr>
            <w:r>
              <w:rPr>
                <w:rFonts w:ascii="Arial" w:hAnsi="Arial" w:cs="Arial"/>
                <w:sz w:val="19"/>
                <w:szCs w:val="19"/>
                <w:lang w:val="es-PE" w:eastAsia="en-US"/>
              </w:rPr>
              <w:t>Criterio sustentado en la Resolución Nº 486-2010-SUNARP-TR-T del 03 de diciembre de 2010.</w:t>
            </w:r>
          </w:p>
          <w:p w:rsidR="00265139" w:rsidRDefault="00265139" w:rsidP="00B7086D">
            <w:pPr>
              <w:pStyle w:val="Prrafodelista"/>
              <w:jc w:val="both"/>
              <w:rPr>
                <w:rFonts w:ascii="Arial" w:hAnsi="Arial" w:cs="Arial"/>
                <w:sz w:val="19"/>
                <w:szCs w:val="19"/>
                <w:lang w:val="es-PE" w:eastAsia="en-US"/>
              </w:rPr>
            </w:pPr>
          </w:p>
          <w:p w:rsidR="00265139" w:rsidRPr="009C6FDB" w:rsidRDefault="00265139" w:rsidP="00265139">
            <w:pPr>
              <w:pStyle w:val="Prrafodelista"/>
              <w:numPr>
                <w:ilvl w:val="0"/>
                <w:numId w:val="30"/>
              </w:numPr>
              <w:jc w:val="both"/>
              <w:rPr>
                <w:b/>
                <w:sz w:val="19"/>
                <w:szCs w:val="19"/>
                <w:lang w:eastAsia="es-PE"/>
              </w:rPr>
            </w:pPr>
            <w:r w:rsidRPr="009C6FDB">
              <w:rPr>
                <w:rFonts w:ascii="Arial" w:hAnsi="Arial" w:cs="Arial"/>
                <w:b/>
                <w:sz w:val="19"/>
                <w:szCs w:val="19"/>
                <w:u w:val="single"/>
                <w:lang w:val="es-PE" w:eastAsia="en-US"/>
              </w:rPr>
              <w:t>Tema</w:t>
            </w:r>
            <w:r w:rsidRPr="009C6FDB">
              <w:rPr>
                <w:rFonts w:ascii="Arial" w:hAnsi="Arial" w:cs="Arial"/>
                <w:b/>
                <w:sz w:val="19"/>
                <w:szCs w:val="19"/>
                <w:lang w:val="es-PE" w:eastAsia="en-US"/>
              </w:rPr>
              <w:t>: Rectificación de área</w:t>
            </w:r>
            <w:r w:rsidR="0057450F" w:rsidRPr="009C6FDB">
              <w:rPr>
                <w:rFonts w:ascii="Arial" w:hAnsi="Arial" w:cs="Arial"/>
                <w:b/>
                <w:sz w:val="19"/>
                <w:szCs w:val="19"/>
                <w:lang w:val="es-PE" w:eastAsia="en-US"/>
              </w:rPr>
              <w:t>.</w:t>
            </w:r>
          </w:p>
          <w:p w:rsidR="00265139" w:rsidRPr="009C6FDB" w:rsidRDefault="00265139" w:rsidP="00265139">
            <w:pPr>
              <w:pStyle w:val="Prrafodelista"/>
              <w:jc w:val="both"/>
              <w:rPr>
                <w:rFonts w:ascii="Arial" w:hAnsi="Arial" w:cs="Arial"/>
                <w:b/>
                <w:sz w:val="19"/>
                <w:szCs w:val="19"/>
                <w:lang w:val="es-PE" w:eastAsia="en-US"/>
              </w:rPr>
            </w:pPr>
            <w:r w:rsidRPr="009C6FDB">
              <w:rPr>
                <w:rFonts w:ascii="Arial" w:hAnsi="Arial" w:cs="Arial"/>
                <w:b/>
                <w:sz w:val="19"/>
                <w:szCs w:val="19"/>
                <w:u w:val="single"/>
                <w:lang w:val="es-PE" w:eastAsia="en-US"/>
              </w:rPr>
              <w:t>Sumilla</w:t>
            </w:r>
            <w:r w:rsidRPr="009C6FDB">
              <w:rPr>
                <w:rFonts w:ascii="Arial" w:hAnsi="Arial" w:cs="Arial"/>
                <w:b/>
                <w:sz w:val="19"/>
                <w:szCs w:val="19"/>
                <w:lang w:val="es-PE" w:eastAsia="en-US"/>
              </w:rPr>
              <w:t>: Precisiones al precedente sobre rectificación de área por error de cálculo</w:t>
            </w:r>
            <w:r w:rsidR="0057450F" w:rsidRPr="009C6FDB">
              <w:rPr>
                <w:rFonts w:ascii="Arial" w:hAnsi="Arial" w:cs="Arial"/>
                <w:b/>
                <w:sz w:val="19"/>
                <w:szCs w:val="19"/>
                <w:lang w:val="es-PE" w:eastAsia="en-US"/>
              </w:rPr>
              <w:t>.</w:t>
            </w:r>
          </w:p>
          <w:p w:rsidR="002678AD" w:rsidRDefault="002678AD" w:rsidP="00265139">
            <w:pPr>
              <w:pStyle w:val="Prrafodelista"/>
              <w:jc w:val="both"/>
              <w:rPr>
                <w:rFonts w:ascii="Arial" w:hAnsi="Arial" w:cs="Arial"/>
                <w:sz w:val="19"/>
                <w:szCs w:val="19"/>
                <w:lang w:val="es-PE" w:eastAsia="en-US"/>
              </w:rPr>
            </w:pPr>
          </w:p>
          <w:p w:rsidR="007826DF" w:rsidRPr="002678AD" w:rsidRDefault="007826DF" w:rsidP="00265139">
            <w:pPr>
              <w:pStyle w:val="Prrafodelista"/>
              <w:jc w:val="both"/>
              <w:rPr>
                <w:rFonts w:ascii="Arial" w:hAnsi="Arial" w:cs="Arial"/>
                <w:i/>
                <w:sz w:val="19"/>
                <w:szCs w:val="19"/>
                <w:lang w:val="es-PE" w:eastAsia="en-US"/>
              </w:rPr>
            </w:pPr>
            <w:r w:rsidRPr="002678AD">
              <w:rPr>
                <w:rFonts w:ascii="Arial" w:hAnsi="Arial" w:cs="Arial"/>
                <w:i/>
                <w:sz w:val="19"/>
                <w:szCs w:val="19"/>
                <w:lang w:val="es-PE" w:eastAsia="en-US"/>
              </w:rPr>
              <w:t>“No procede</w:t>
            </w:r>
            <w:r w:rsidR="0095196C" w:rsidRPr="002678AD">
              <w:rPr>
                <w:rFonts w:ascii="Arial" w:hAnsi="Arial" w:cs="Arial"/>
                <w:i/>
                <w:sz w:val="19"/>
                <w:szCs w:val="19"/>
                <w:lang w:val="es-PE" w:eastAsia="en-US"/>
              </w:rPr>
              <w:t xml:space="preserve"> la rectificación de área, con la sola presentación de plano visado por la municipalidad, en supuestos distintos al error de cálculo.</w:t>
            </w:r>
          </w:p>
          <w:p w:rsidR="0095196C" w:rsidRPr="002678AD" w:rsidRDefault="0095196C" w:rsidP="00265139">
            <w:pPr>
              <w:pStyle w:val="Prrafodelista"/>
              <w:jc w:val="both"/>
              <w:rPr>
                <w:rFonts w:ascii="Arial" w:hAnsi="Arial" w:cs="Arial"/>
                <w:i/>
                <w:sz w:val="19"/>
                <w:szCs w:val="19"/>
                <w:lang w:val="es-PE" w:eastAsia="en-US"/>
              </w:rPr>
            </w:pPr>
            <w:r w:rsidRPr="002678AD">
              <w:rPr>
                <w:rFonts w:ascii="Arial" w:hAnsi="Arial" w:cs="Arial"/>
                <w:i/>
                <w:sz w:val="19"/>
                <w:szCs w:val="19"/>
                <w:lang w:val="es-PE" w:eastAsia="en-US"/>
              </w:rPr>
              <w:t>También procede la rectificación por error de cálculo respecto de predios rurales, para lo cual se adjuntará la documentación a que se refiere el artículo 20º del Reglamento de Inscripciones de Registro de Predios.</w:t>
            </w:r>
          </w:p>
          <w:p w:rsidR="0095196C" w:rsidRPr="002678AD" w:rsidRDefault="0095196C" w:rsidP="00265139">
            <w:pPr>
              <w:pStyle w:val="Prrafodelista"/>
              <w:jc w:val="both"/>
              <w:rPr>
                <w:rFonts w:ascii="Arial" w:hAnsi="Arial" w:cs="Arial"/>
                <w:i/>
                <w:sz w:val="19"/>
                <w:szCs w:val="19"/>
                <w:lang w:val="es-PE" w:eastAsia="en-US"/>
              </w:rPr>
            </w:pPr>
            <w:r w:rsidRPr="002678AD">
              <w:rPr>
                <w:rFonts w:ascii="Arial" w:hAnsi="Arial" w:cs="Arial"/>
                <w:i/>
                <w:sz w:val="19"/>
                <w:szCs w:val="19"/>
                <w:lang w:val="es-PE" w:eastAsia="en-US"/>
              </w:rPr>
              <w:lastRenderedPageBreak/>
              <w:t>No procede la rectificación por error de cálculo si el área de catastro no puede determinar si los linderos, medidas perimétricas y ubicación espacial d</w:t>
            </w:r>
            <w:r w:rsidR="008C04C0" w:rsidRPr="002678AD">
              <w:rPr>
                <w:rFonts w:ascii="Arial" w:hAnsi="Arial" w:cs="Arial"/>
                <w:i/>
                <w:sz w:val="19"/>
                <w:szCs w:val="19"/>
                <w:lang w:val="es-PE" w:eastAsia="en-US"/>
              </w:rPr>
              <w:t>el predio han sufrido variación”.</w:t>
            </w:r>
          </w:p>
          <w:p w:rsidR="00250EA9" w:rsidRDefault="00250EA9" w:rsidP="00265139">
            <w:pPr>
              <w:pStyle w:val="Prrafodelista"/>
              <w:jc w:val="both"/>
              <w:rPr>
                <w:rFonts w:ascii="Arial" w:hAnsi="Arial" w:cs="Arial"/>
                <w:sz w:val="19"/>
                <w:szCs w:val="19"/>
                <w:lang w:val="es-PE" w:eastAsia="en-US"/>
              </w:rPr>
            </w:pPr>
          </w:p>
          <w:p w:rsidR="00250EA9" w:rsidRDefault="00250EA9" w:rsidP="00250EA9">
            <w:pPr>
              <w:pStyle w:val="Prrafodelista"/>
              <w:jc w:val="both"/>
              <w:rPr>
                <w:rFonts w:ascii="Arial" w:hAnsi="Arial" w:cs="Arial"/>
                <w:sz w:val="19"/>
                <w:szCs w:val="19"/>
                <w:lang w:val="es-PE" w:eastAsia="en-US"/>
              </w:rPr>
            </w:pPr>
            <w:r>
              <w:rPr>
                <w:rFonts w:ascii="Arial" w:hAnsi="Arial" w:cs="Arial"/>
                <w:sz w:val="19"/>
                <w:szCs w:val="19"/>
                <w:lang w:val="es-PE" w:eastAsia="en-US"/>
              </w:rPr>
              <w:t>Criterio sustentado en la Resolución Nº 138-2009-SUNARP-TR-T del 16 de abril de 2009.</w:t>
            </w:r>
          </w:p>
          <w:p w:rsidR="00ED1827" w:rsidRPr="00ED1827" w:rsidRDefault="00ED1827" w:rsidP="00ED1827">
            <w:pPr>
              <w:jc w:val="both"/>
              <w:rPr>
                <w:rFonts w:ascii="Arial" w:hAnsi="Arial" w:cs="Arial"/>
                <w:sz w:val="19"/>
                <w:szCs w:val="19"/>
                <w:lang w:val="es-PE" w:eastAsia="en-US"/>
              </w:rPr>
            </w:pPr>
          </w:p>
          <w:p w:rsidR="00C74329" w:rsidRDefault="00ED1827" w:rsidP="00C74329">
            <w:pPr>
              <w:pStyle w:val="Prrafodelista"/>
              <w:numPr>
                <w:ilvl w:val="0"/>
                <w:numId w:val="29"/>
              </w:numPr>
              <w:jc w:val="both"/>
              <w:rPr>
                <w:rFonts w:ascii="Arial" w:hAnsi="Arial" w:cs="Arial"/>
                <w:sz w:val="19"/>
                <w:szCs w:val="19"/>
                <w:lang w:val="es-PE" w:eastAsia="en-US"/>
              </w:rPr>
            </w:pPr>
            <w:r>
              <w:rPr>
                <w:rFonts w:ascii="Arial" w:hAnsi="Arial" w:cs="Arial"/>
                <w:sz w:val="19"/>
                <w:szCs w:val="19"/>
                <w:lang w:val="es-PE" w:eastAsia="en-US"/>
              </w:rPr>
              <w:t>Se dispone la publicación del acuerdo plenario que deja sin efecto el precedente de observancia obligatoria, aprobado en el LXXXIV Pleno del Tribunal Registral, sesión extraordinaria realizada los días 9 y 10 de febrero de 2012, publicado en el diario “El Peruano” el 22 de febrero de 2012: “Cuando en las inmatriculaciones no coincida el área graficada en el plano con el área del predio que aparece en el título de propiedad, no se aplicarán los rangos de tolerancias”, criterio adoptado en la Resolución Nº 1348-2010-SUNARP-TR-L- del 17 de setiembre de 2010.</w:t>
            </w:r>
          </w:p>
          <w:p w:rsidR="00C74329" w:rsidRDefault="00C74329" w:rsidP="00C74329">
            <w:pPr>
              <w:pStyle w:val="Prrafodelista"/>
              <w:ind w:left="360"/>
              <w:jc w:val="both"/>
              <w:rPr>
                <w:rFonts w:ascii="Arial" w:hAnsi="Arial" w:cs="Arial"/>
                <w:sz w:val="19"/>
                <w:szCs w:val="19"/>
                <w:lang w:val="es-PE" w:eastAsia="en-US"/>
              </w:rPr>
            </w:pPr>
          </w:p>
          <w:p w:rsidR="00C74329" w:rsidRDefault="00C74329" w:rsidP="00C74329">
            <w:pPr>
              <w:pStyle w:val="Prrafodelista"/>
              <w:numPr>
                <w:ilvl w:val="0"/>
                <w:numId w:val="29"/>
              </w:numPr>
              <w:jc w:val="both"/>
              <w:rPr>
                <w:rFonts w:ascii="Arial" w:hAnsi="Arial" w:cs="Arial"/>
                <w:sz w:val="19"/>
                <w:szCs w:val="19"/>
                <w:lang w:val="es-PE" w:eastAsia="en-US"/>
              </w:rPr>
            </w:pPr>
            <w:r w:rsidRPr="00C74329">
              <w:rPr>
                <w:rFonts w:ascii="Arial" w:hAnsi="Arial" w:cs="Arial"/>
                <w:sz w:val="19"/>
                <w:szCs w:val="19"/>
                <w:lang w:val="es-PE" w:eastAsia="en-US"/>
              </w:rPr>
              <w:t xml:space="preserve">La Resolución Nº 1348-2010-SUNARP-TR-L del 17 de setiembre de 2010, concluyó que si discrepaba el área del título de propiedad con el área del plano, no procedía inmatricular el predio. Dicho precedente tuvo como fundamento lo siguiente: En la inmatriculación se requiere contar con información gráfica que por mandato legal deben acompañarse con carácter de complementaria. Los datos que fluyan del título en su integridad deben ser coherentes entre sí. Lo contrario vulnera frontalmente el principio lógico de no </w:t>
            </w:r>
            <w:r>
              <w:rPr>
                <w:rFonts w:ascii="Arial" w:hAnsi="Arial" w:cs="Arial"/>
                <w:sz w:val="19"/>
                <w:szCs w:val="19"/>
                <w:lang w:val="es-PE" w:eastAsia="en-US"/>
              </w:rPr>
              <w:t xml:space="preserve">contradicción. </w:t>
            </w:r>
          </w:p>
          <w:p w:rsidR="00C74329" w:rsidRPr="00C74329" w:rsidRDefault="00C74329" w:rsidP="00C74329">
            <w:pPr>
              <w:jc w:val="both"/>
              <w:rPr>
                <w:rFonts w:ascii="Arial" w:hAnsi="Arial" w:cs="Arial"/>
                <w:sz w:val="19"/>
                <w:szCs w:val="19"/>
                <w:lang w:val="es-PE" w:eastAsia="en-US"/>
              </w:rPr>
            </w:pPr>
          </w:p>
          <w:p w:rsidR="009723F5" w:rsidRDefault="00C74329" w:rsidP="009723F5">
            <w:pPr>
              <w:pStyle w:val="Prrafodelista"/>
              <w:ind w:left="360"/>
              <w:jc w:val="both"/>
              <w:rPr>
                <w:rFonts w:ascii="Arial" w:hAnsi="Arial" w:cs="Arial"/>
                <w:sz w:val="19"/>
                <w:szCs w:val="19"/>
                <w:lang w:val="es-PE" w:eastAsia="en-US"/>
              </w:rPr>
            </w:pPr>
            <w:r w:rsidRPr="00C74329">
              <w:rPr>
                <w:rFonts w:ascii="Arial" w:hAnsi="Arial" w:cs="Arial"/>
                <w:sz w:val="19"/>
                <w:szCs w:val="19"/>
                <w:lang w:val="es-PE" w:eastAsia="en-US"/>
              </w:rPr>
              <w:t>Sin embargo</w:t>
            </w:r>
            <w:r>
              <w:rPr>
                <w:rFonts w:ascii="Arial" w:hAnsi="Arial" w:cs="Arial"/>
                <w:sz w:val="19"/>
                <w:szCs w:val="19"/>
                <w:lang w:val="es-PE" w:eastAsia="en-US"/>
              </w:rPr>
              <w:t xml:space="preserve">, </w:t>
            </w:r>
            <w:r w:rsidRPr="00C74329">
              <w:rPr>
                <w:rFonts w:ascii="Arial" w:hAnsi="Arial" w:cs="Arial"/>
                <w:sz w:val="19"/>
                <w:szCs w:val="19"/>
                <w:lang w:val="es-PE" w:eastAsia="en-US"/>
              </w:rPr>
              <w:t>siendo que la directiva permite la aplicación de los rangos</w:t>
            </w:r>
            <w:r>
              <w:rPr>
                <w:rFonts w:ascii="Arial" w:hAnsi="Arial" w:cs="Arial"/>
                <w:sz w:val="19"/>
                <w:szCs w:val="19"/>
                <w:lang w:val="es-PE" w:eastAsia="en-US"/>
              </w:rPr>
              <w:t xml:space="preserve"> </w:t>
            </w:r>
            <w:r w:rsidRPr="00C74329">
              <w:rPr>
                <w:rFonts w:ascii="Arial" w:hAnsi="Arial" w:cs="Arial"/>
                <w:sz w:val="19"/>
                <w:szCs w:val="19"/>
                <w:lang w:val="es-PE" w:eastAsia="en-US"/>
              </w:rPr>
              <w:t>de tolerancia en otros casos, no hay motivo para que en el</w:t>
            </w:r>
            <w:r>
              <w:rPr>
                <w:rFonts w:ascii="Arial" w:hAnsi="Arial" w:cs="Arial"/>
                <w:sz w:val="19"/>
                <w:szCs w:val="19"/>
                <w:lang w:val="es-PE" w:eastAsia="en-US"/>
              </w:rPr>
              <w:t xml:space="preserve"> </w:t>
            </w:r>
            <w:r w:rsidRPr="00C74329">
              <w:rPr>
                <w:rFonts w:ascii="Arial" w:hAnsi="Arial" w:cs="Arial"/>
                <w:sz w:val="19"/>
                <w:szCs w:val="19"/>
                <w:lang w:val="es-PE" w:eastAsia="en-US"/>
              </w:rPr>
              <w:t>caso de inmatriculaciones se exija perfecta identidad.</w:t>
            </w:r>
          </w:p>
          <w:p w:rsidR="009723F5" w:rsidRDefault="009723F5" w:rsidP="009723F5">
            <w:pPr>
              <w:pStyle w:val="Prrafodelista"/>
              <w:ind w:left="360"/>
              <w:jc w:val="both"/>
              <w:rPr>
                <w:rFonts w:ascii="Arial" w:hAnsi="Arial" w:cs="Arial"/>
                <w:sz w:val="19"/>
                <w:szCs w:val="19"/>
                <w:lang w:val="es-PE" w:eastAsia="en-US"/>
              </w:rPr>
            </w:pPr>
          </w:p>
          <w:p w:rsidR="009723F5" w:rsidRDefault="009E370F" w:rsidP="009723F5">
            <w:pPr>
              <w:pStyle w:val="Prrafodelista"/>
              <w:numPr>
                <w:ilvl w:val="0"/>
                <w:numId w:val="29"/>
              </w:numPr>
              <w:jc w:val="both"/>
              <w:rPr>
                <w:rFonts w:ascii="Arial" w:hAnsi="Arial" w:cs="Arial"/>
                <w:sz w:val="19"/>
                <w:szCs w:val="19"/>
                <w:lang w:val="es-PE" w:eastAsia="en-US"/>
              </w:rPr>
            </w:pPr>
            <w:r w:rsidRPr="009E370F">
              <w:rPr>
                <w:rFonts w:ascii="Arial" w:hAnsi="Arial" w:cs="Arial"/>
                <w:sz w:val="19"/>
                <w:szCs w:val="19"/>
                <w:lang w:val="es-PE" w:eastAsia="en-US"/>
              </w:rPr>
              <w:t>El Acuerdo Plenario concluye qu</w:t>
            </w:r>
            <w:r>
              <w:rPr>
                <w:rFonts w:ascii="Arial" w:hAnsi="Arial" w:cs="Arial"/>
                <w:sz w:val="19"/>
                <w:szCs w:val="19"/>
                <w:lang w:val="es-PE" w:eastAsia="en-US"/>
              </w:rPr>
              <w:t xml:space="preserve">e </w:t>
            </w:r>
            <w:r w:rsidRPr="009E370F">
              <w:rPr>
                <w:rFonts w:ascii="Arial" w:hAnsi="Arial" w:cs="Arial"/>
                <w:sz w:val="19"/>
                <w:szCs w:val="19"/>
                <w:lang w:val="es-PE" w:eastAsia="en-US"/>
              </w:rPr>
              <w:t>se aplican tolerancias en inmatriculaciones</w:t>
            </w:r>
            <w:r>
              <w:rPr>
                <w:rFonts w:ascii="Arial" w:hAnsi="Arial" w:cs="Arial"/>
                <w:sz w:val="19"/>
                <w:szCs w:val="19"/>
                <w:lang w:val="es-PE" w:eastAsia="en-US"/>
              </w:rPr>
              <w:t>, como e</w:t>
            </w:r>
            <w:r w:rsidRPr="009E370F">
              <w:rPr>
                <w:rFonts w:ascii="Arial" w:hAnsi="Arial" w:cs="Arial"/>
                <w:sz w:val="19"/>
                <w:szCs w:val="19"/>
                <w:lang w:val="es-PE" w:eastAsia="en-US"/>
              </w:rPr>
              <w:t>n el caso</w:t>
            </w:r>
            <w:r>
              <w:rPr>
                <w:rFonts w:ascii="Arial" w:hAnsi="Arial" w:cs="Arial"/>
                <w:sz w:val="19"/>
                <w:szCs w:val="19"/>
                <w:lang w:val="es-PE" w:eastAsia="en-US"/>
              </w:rPr>
              <w:t xml:space="preserve"> que los predios colindantes </w:t>
            </w:r>
            <w:r w:rsidRPr="009E370F">
              <w:rPr>
                <w:rFonts w:ascii="Arial" w:hAnsi="Arial" w:cs="Arial"/>
                <w:sz w:val="19"/>
                <w:szCs w:val="19"/>
                <w:lang w:val="es-PE" w:eastAsia="en-US"/>
              </w:rPr>
              <w:t xml:space="preserve">estén registrados, siempre que </w:t>
            </w:r>
            <w:r>
              <w:rPr>
                <w:rFonts w:ascii="Arial" w:hAnsi="Arial" w:cs="Arial"/>
                <w:sz w:val="19"/>
                <w:szCs w:val="19"/>
                <w:lang w:val="es-PE" w:eastAsia="en-US"/>
              </w:rPr>
              <w:t xml:space="preserve">no se afecte a los colindantes y, cuando </w:t>
            </w:r>
            <w:r w:rsidRPr="009E370F">
              <w:rPr>
                <w:rFonts w:ascii="Arial" w:hAnsi="Arial" w:cs="Arial"/>
                <w:sz w:val="19"/>
                <w:szCs w:val="19"/>
                <w:lang w:val="es-PE" w:eastAsia="en-US"/>
              </w:rPr>
              <w:t xml:space="preserve">se </w:t>
            </w:r>
            <w:proofErr w:type="spellStart"/>
            <w:r w:rsidRPr="009E370F">
              <w:rPr>
                <w:rFonts w:ascii="Arial" w:hAnsi="Arial" w:cs="Arial"/>
                <w:sz w:val="19"/>
                <w:szCs w:val="19"/>
                <w:lang w:val="es-PE" w:eastAsia="en-US"/>
              </w:rPr>
              <w:t>inmatricula</w:t>
            </w:r>
            <w:proofErr w:type="spellEnd"/>
            <w:r w:rsidRPr="009E370F">
              <w:rPr>
                <w:rFonts w:ascii="Arial" w:hAnsi="Arial" w:cs="Arial"/>
                <w:sz w:val="19"/>
                <w:szCs w:val="19"/>
                <w:lang w:val="es-PE" w:eastAsia="en-US"/>
              </w:rPr>
              <w:t xml:space="preserve"> el predio</w:t>
            </w:r>
            <w:r>
              <w:rPr>
                <w:rFonts w:ascii="Arial" w:hAnsi="Arial" w:cs="Arial"/>
                <w:sz w:val="19"/>
                <w:szCs w:val="19"/>
                <w:lang w:val="es-PE" w:eastAsia="en-US"/>
              </w:rPr>
              <w:t xml:space="preserve"> si</w:t>
            </w:r>
            <w:r w:rsidRPr="009E370F">
              <w:rPr>
                <w:rFonts w:ascii="Arial" w:hAnsi="Arial" w:cs="Arial"/>
                <w:sz w:val="19"/>
                <w:szCs w:val="19"/>
                <w:lang w:val="es-PE" w:eastAsia="en-US"/>
              </w:rPr>
              <w:t xml:space="preserve"> no se excede los rangos de tolerancia y no se </w:t>
            </w:r>
            <w:r>
              <w:rPr>
                <w:rFonts w:ascii="Arial" w:hAnsi="Arial" w:cs="Arial"/>
                <w:sz w:val="19"/>
                <w:szCs w:val="19"/>
                <w:lang w:val="es-PE" w:eastAsia="en-US"/>
              </w:rPr>
              <w:t>afecta a los colindantes.</w:t>
            </w:r>
            <w:r w:rsidR="009C6FDB">
              <w:rPr>
                <w:rFonts w:ascii="Arial" w:hAnsi="Arial" w:cs="Arial"/>
                <w:sz w:val="19"/>
                <w:szCs w:val="19"/>
                <w:lang w:val="es-PE" w:eastAsia="en-US"/>
              </w:rPr>
              <w:t xml:space="preserve"> </w:t>
            </w:r>
            <w:r w:rsidRPr="009723F5">
              <w:rPr>
                <w:rFonts w:ascii="Arial" w:hAnsi="Arial" w:cs="Arial"/>
                <w:sz w:val="19"/>
                <w:szCs w:val="19"/>
                <w:lang w:val="es-PE" w:eastAsia="en-US"/>
              </w:rPr>
              <w:t>No tendría sentido permitir la inmatriculación en caso que los predios colindantes sí estén inscritos, y no permitirla para el caso que los predios colindantes no estén inscritos</w:t>
            </w:r>
          </w:p>
          <w:p w:rsidR="009723F5" w:rsidRDefault="009723F5" w:rsidP="009723F5">
            <w:pPr>
              <w:pStyle w:val="Prrafodelista"/>
              <w:ind w:left="360"/>
              <w:jc w:val="both"/>
              <w:rPr>
                <w:rFonts w:ascii="Arial" w:hAnsi="Arial" w:cs="Arial"/>
                <w:sz w:val="19"/>
                <w:szCs w:val="19"/>
                <w:lang w:val="es-PE" w:eastAsia="en-US"/>
              </w:rPr>
            </w:pPr>
          </w:p>
          <w:p w:rsidR="00786DEC" w:rsidRDefault="009E370F" w:rsidP="00786DEC">
            <w:pPr>
              <w:pStyle w:val="Prrafodelista"/>
              <w:numPr>
                <w:ilvl w:val="0"/>
                <w:numId w:val="29"/>
              </w:numPr>
              <w:jc w:val="both"/>
              <w:rPr>
                <w:rFonts w:ascii="Arial" w:hAnsi="Arial" w:cs="Arial"/>
                <w:sz w:val="19"/>
                <w:szCs w:val="19"/>
                <w:lang w:val="es-PE" w:eastAsia="en-US"/>
              </w:rPr>
            </w:pPr>
            <w:r w:rsidRPr="009C6FDB">
              <w:rPr>
                <w:rFonts w:ascii="Arial" w:hAnsi="Arial" w:cs="Arial"/>
                <w:b/>
                <w:sz w:val="19"/>
                <w:szCs w:val="19"/>
                <w:lang w:val="es-PE" w:eastAsia="en-US"/>
              </w:rPr>
              <w:t xml:space="preserve">La razón de ser de este diferente tratamiento cuando los colindantes están o no </w:t>
            </w:r>
            <w:proofErr w:type="spellStart"/>
            <w:r w:rsidRPr="009C6FDB">
              <w:rPr>
                <w:rFonts w:ascii="Arial" w:hAnsi="Arial" w:cs="Arial"/>
                <w:b/>
                <w:sz w:val="19"/>
                <w:szCs w:val="19"/>
                <w:lang w:val="es-PE" w:eastAsia="en-US"/>
              </w:rPr>
              <w:t>inmatriculados</w:t>
            </w:r>
            <w:proofErr w:type="spellEnd"/>
            <w:r w:rsidRPr="009723F5">
              <w:rPr>
                <w:rFonts w:ascii="Arial" w:hAnsi="Arial" w:cs="Arial"/>
                <w:sz w:val="19"/>
                <w:szCs w:val="19"/>
                <w:lang w:val="es-PE" w:eastAsia="en-US"/>
              </w:rPr>
              <w:t xml:space="preserve">, es que en el caso que no estén </w:t>
            </w:r>
            <w:proofErr w:type="spellStart"/>
            <w:r w:rsidRPr="009723F5">
              <w:rPr>
                <w:rFonts w:ascii="Arial" w:hAnsi="Arial" w:cs="Arial"/>
                <w:sz w:val="19"/>
                <w:szCs w:val="19"/>
                <w:lang w:val="es-PE" w:eastAsia="en-US"/>
              </w:rPr>
              <w:t>inmatriculados</w:t>
            </w:r>
            <w:proofErr w:type="spellEnd"/>
            <w:r w:rsidRPr="009723F5">
              <w:rPr>
                <w:rFonts w:ascii="Arial" w:hAnsi="Arial" w:cs="Arial"/>
                <w:sz w:val="19"/>
                <w:szCs w:val="19"/>
                <w:lang w:val="es-PE" w:eastAsia="en-US"/>
              </w:rPr>
              <w:t>, aun cuando se sobrepase el rango de tolerancia, esto no debe dar mérito a denegatoria de inscripción, pues no se perjudica a los colindantes. Sin embargo, sí debe ser un requisito para acceder a la inmatriculación que el área de catastro determine que se trata del mismo predio, tanto el descrito en el título de propiedad como el descrito en el plano.</w:t>
            </w:r>
          </w:p>
          <w:p w:rsidR="00786DEC" w:rsidRPr="00786DEC" w:rsidRDefault="00786DEC" w:rsidP="00786DEC">
            <w:pPr>
              <w:pStyle w:val="Prrafodelista"/>
              <w:rPr>
                <w:rFonts w:ascii="Arial" w:hAnsi="Arial" w:cs="Arial"/>
                <w:sz w:val="19"/>
                <w:szCs w:val="19"/>
                <w:lang w:val="es-PE" w:eastAsia="en-US"/>
              </w:rPr>
            </w:pPr>
          </w:p>
          <w:p w:rsidR="00786DEC" w:rsidRDefault="00786DEC" w:rsidP="00786DEC">
            <w:pPr>
              <w:pStyle w:val="Prrafodelista"/>
              <w:numPr>
                <w:ilvl w:val="0"/>
                <w:numId w:val="29"/>
              </w:numPr>
              <w:jc w:val="both"/>
              <w:rPr>
                <w:rFonts w:ascii="Arial" w:hAnsi="Arial" w:cs="Arial"/>
                <w:sz w:val="19"/>
                <w:szCs w:val="19"/>
                <w:lang w:val="es-PE" w:eastAsia="en-US"/>
              </w:rPr>
            </w:pPr>
            <w:r w:rsidRPr="00786DEC">
              <w:rPr>
                <w:rFonts w:ascii="Arial" w:hAnsi="Arial" w:cs="Arial"/>
                <w:sz w:val="19"/>
                <w:szCs w:val="19"/>
                <w:lang w:val="es-PE" w:eastAsia="en-US"/>
              </w:rPr>
              <w:t xml:space="preserve">Por último es necesario tomar en cuenta que en el CVI Pleno llevado a cabo en sesión extraordinaria el día 24 de mayo de 2013, </w:t>
            </w:r>
            <w:r w:rsidRPr="009C6FDB">
              <w:rPr>
                <w:rFonts w:ascii="Arial" w:hAnsi="Arial" w:cs="Arial"/>
                <w:sz w:val="19"/>
                <w:szCs w:val="19"/>
                <w:lang w:val="es-PE" w:eastAsia="en-US"/>
              </w:rPr>
              <w:t xml:space="preserve">se concluyó que para la individualización del predio </w:t>
            </w:r>
            <w:r w:rsidR="009C6FDB">
              <w:rPr>
                <w:rFonts w:ascii="Arial" w:hAnsi="Arial" w:cs="Arial"/>
                <w:sz w:val="19"/>
                <w:szCs w:val="19"/>
                <w:lang w:val="es-PE" w:eastAsia="en-US"/>
              </w:rPr>
              <w:t>para efectos de su inmatriculación</w:t>
            </w:r>
            <w:r w:rsidRPr="009C6FDB">
              <w:rPr>
                <w:rFonts w:ascii="Arial" w:hAnsi="Arial" w:cs="Arial"/>
                <w:sz w:val="19"/>
                <w:szCs w:val="19"/>
                <w:lang w:val="es-PE" w:eastAsia="en-US"/>
              </w:rPr>
              <w:t>,</w:t>
            </w:r>
            <w:r w:rsidRPr="009C6FDB">
              <w:rPr>
                <w:rFonts w:ascii="Arial" w:hAnsi="Arial" w:cs="Arial"/>
                <w:b/>
                <w:sz w:val="19"/>
                <w:szCs w:val="19"/>
                <w:lang w:val="es-PE" w:eastAsia="en-US"/>
              </w:rPr>
              <w:t xml:space="preserve"> no es indispensable que en el título de adquisición conste su área, linderos o medidas perimétricas, siempre que la documentación técnica que se adjunta provenga de ente generador de Catastro.</w:t>
            </w:r>
          </w:p>
          <w:p w:rsidR="00786DEC" w:rsidRPr="00786DEC" w:rsidRDefault="00786DEC" w:rsidP="00786DEC">
            <w:pPr>
              <w:pStyle w:val="Prrafodelista"/>
              <w:rPr>
                <w:rFonts w:ascii="Arial" w:hAnsi="Arial" w:cs="Arial"/>
                <w:sz w:val="19"/>
                <w:szCs w:val="19"/>
                <w:lang w:val="es-PE" w:eastAsia="en-US"/>
              </w:rPr>
            </w:pPr>
          </w:p>
          <w:p w:rsidR="00A74A7E" w:rsidRDefault="00786DEC" w:rsidP="00786DEC">
            <w:pPr>
              <w:pStyle w:val="Prrafodelista"/>
              <w:ind w:left="360"/>
              <w:jc w:val="both"/>
              <w:rPr>
                <w:rFonts w:ascii="Arial" w:hAnsi="Arial" w:cs="Arial"/>
                <w:sz w:val="19"/>
                <w:szCs w:val="19"/>
                <w:lang w:val="es-PE" w:eastAsia="en-US"/>
              </w:rPr>
            </w:pPr>
            <w:r w:rsidRPr="00786DEC">
              <w:rPr>
                <w:rFonts w:ascii="Arial" w:hAnsi="Arial" w:cs="Arial"/>
                <w:sz w:val="19"/>
                <w:szCs w:val="19"/>
                <w:lang w:val="es-PE" w:eastAsia="en-US"/>
              </w:rPr>
              <w:t xml:space="preserve">Por tanto, si en la jurisprudencia registral se admite la inmatriculación cuando no se señala el área en el título de adquisición, no resultaría coherente que se deniegue la inmatriculación cuando sí se ha señalado el área en dicho título, discrepando la misma del área gráfica. </w:t>
            </w:r>
            <w:r w:rsidRPr="009C6FDB">
              <w:rPr>
                <w:rFonts w:ascii="Arial" w:hAnsi="Arial" w:cs="Arial"/>
                <w:b/>
                <w:sz w:val="19"/>
                <w:szCs w:val="19"/>
                <w:lang w:val="es-PE" w:eastAsia="en-US"/>
              </w:rPr>
              <w:t>Por tanto, a efectos de mantener una misma línea interpretativa, se deja sin efecto el precedente acordado.</w:t>
            </w:r>
          </w:p>
          <w:p w:rsidR="00786DEC" w:rsidRPr="00786DEC" w:rsidRDefault="00786DEC" w:rsidP="00786DEC">
            <w:pPr>
              <w:pStyle w:val="Prrafodelista"/>
              <w:ind w:left="360"/>
              <w:jc w:val="both"/>
              <w:rPr>
                <w:rFonts w:ascii="Arial" w:hAnsi="Arial" w:cs="Arial"/>
                <w:sz w:val="19"/>
                <w:szCs w:val="19"/>
                <w:lang w:val="es-PE" w:eastAsia="en-US"/>
              </w:rPr>
            </w:pPr>
          </w:p>
        </w:tc>
      </w:tr>
    </w:tbl>
    <w:p w:rsidR="00186FFC" w:rsidRDefault="00186FFC" w:rsidP="005617C0">
      <w:pPr>
        <w:spacing w:after="200" w:line="276" w:lineRule="auto"/>
        <w:rPr>
          <w:rFonts w:asciiTheme="minorHAnsi" w:hAnsiTheme="minorHAnsi" w:cs="Arial"/>
          <w:b/>
          <w:caps/>
          <w:sz w:val="16"/>
          <w:szCs w:val="16"/>
        </w:rPr>
      </w:pPr>
    </w:p>
    <w:p w:rsidR="003F7D08" w:rsidRDefault="003F7D08" w:rsidP="005617C0">
      <w:pPr>
        <w:spacing w:after="200" w:line="276" w:lineRule="auto"/>
        <w:rPr>
          <w:rFonts w:asciiTheme="minorHAnsi" w:hAnsiTheme="minorHAnsi" w:cs="Arial"/>
          <w:b/>
          <w:caps/>
          <w:sz w:val="16"/>
          <w:szCs w:val="16"/>
        </w:rPr>
      </w:pPr>
    </w:p>
    <w:p w:rsidR="003F7D08" w:rsidRDefault="003F7D08" w:rsidP="005617C0">
      <w:pPr>
        <w:spacing w:after="200" w:line="276" w:lineRule="auto"/>
        <w:rPr>
          <w:rFonts w:asciiTheme="minorHAnsi" w:hAnsiTheme="minorHAnsi" w:cs="Arial"/>
          <w:b/>
          <w:caps/>
          <w:sz w:val="16"/>
          <w:szCs w:val="16"/>
        </w:rPr>
      </w:pPr>
    </w:p>
    <w:p w:rsidR="009F7D33" w:rsidRDefault="00815BEB" w:rsidP="009F7D33">
      <w:pPr>
        <w:spacing w:after="200" w:line="276" w:lineRule="auto"/>
        <w:jc w:val="center"/>
        <w:rPr>
          <w:rFonts w:ascii="Arial" w:hAnsi="Arial" w:cs="Arial"/>
          <w:b/>
          <w:caps/>
          <w:sz w:val="20"/>
          <w:szCs w:val="20"/>
          <w:lang w:val="es-PE"/>
        </w:rPr>
      </w:pPr>
      <w:r>
        <w:rPr>
          <w:rFonts w:ascii="Arial" w:hAnsi="Arial" w:cs="Arial"/>
          <w:b/>
          <w:caps/>
          <w:sz w:val="20"/>
          <w:szCs w:val="20"/>
          <w:lang w:val="es-PE"/>
        </w:rPr>
        <w:t>separata especial</w:t>
      </w:r>
      <w:r w:rsidR="00AD4ED9">
        <w:rPr>
          <w:rFonts w:ascii="Arial" w:hAnsi="Arial" w:cs="Arial"/>
          <w:b/>
          <w:caps/>
          <w:sz w:val="20"/>
          <w:szCs w:val="20"/>
          <w:lang w:val="es-PE"/>
        </w:rPr>
        <w:t xml:space="preserve"> DEL MINISTERIO DE ECONOMÍ</w:t>
      </w:r>
      <w:r w:rsidR="004735F5">
        <w:rPr>
          <w:rFonts w:ascii="Arial" w:hAnsi="Arial" w:cs="Arial"/>
          <w:b/>
          <w:caps/>
          <w:sz w:val="20"/>
          <w:szCs w:val="20"/>
          <w:lang w:val="es-PE"/>
        </w:rPr>
        <w:t>A Y FINANZAS</w:t>
      </w:r>
    </w:p>
    <w:p w:rsidR="003F7D08" w:rsidRDefault="003F7D08" w:rsidP="009F7D33">
      <w:pPr>
        <w:spacing w:after="200" w:line="276" w:lineRule="auto"/>
        <w:jc w:val="center"/>
        <w:rPr>
          <w:rFonts w:ascii="Arial" w:hAnsi="Arial" w:cs="Arial"/>
          <w:b/>
          <w:caps/>
          <w:sz w:val="20"/>
          <w:szCs w:val="20"/>
          <w:lang w:val="es-PE"/>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2551"/>
        <w:gridCol w:w="2552"/>
        <w:gridCol w:w="7087"/>
      </w:tblGrid>
      <w:tr w:rsidR="009F7D33" w:rsidRPr="00C9008F" w:rsidTr="00B7086D">
        <w:trPr>
          <w:trHeight w:val="593"/>
        </w:trPr>
        <w:tc>
          <w:tcPr>
            <w:tcW w:w="241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7D33" w:rsidRPr="0088709B" w:rsidRDefault="009F7D33" w:rsidP="00B7086D">
            <w:pPr>
              <w:spacing w:line="276" w:lineRule="auto"/>
              <w:jc w:val="center"/>
              <w:rPr>
                <w:rFonts w:ascii="Arial" w:hAnsi="Arial" w:cs="Arial"/>
                <w:b/>
                <w:sz w:val="20"/>
                <w:szCs w:val="20"/>
                <w:lang w:val="es-PE" w:eastAsia="en-US"/>
              </w:rPr>
            </w:pPr>
            <w:r w:rsidRPr="0088709B">
              <w:rPr>
                <w:rFonts w:ascii="Arial" w:hAnsi="Arial" w:cs="Arial"/>
                <w:b/>
                <w:sz w:val="20"/>
                <w:szCs w:val="20"/>
                <w:lang w:val="es-PE" w:eastAsia="en-US"/>
              </w:rPr>
              <w:t>NORMA</w:t>
            </w:r>
          </w:p>
        </w:tc>
        <w:tc>
          <w:tcPr>
            <w:tcW w:w="255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7D33" w:rsidRPr="0088709B" w:rsidRDefault="009F7D33" w:rsidP="00B7086D">
            <w:pPr>
              <w:spacing w:line="276" w:lineRule="auto"/>
              <w:jc w:val="center"/>
              <w:rPr>
                <w:rFonts w:ascii="Arial" w:hAnsi="Arial" w:cs="Arial"/>
                <w:b/>
                <w:sz w:val="20"/>
                <w:szCs w:val="20"/>
                <w:lang w:val="es-PE" w:eastAsia="en-US"/>
              </w:rPr>
            </w:pPr>
            <w:r w:rsidRPr="0088709B">
              <w:rPr>
                <w:rFonts w:ascii="Arial" w:hAnsi="Arial" w:cs="Arial"/>
                <w:b/>
                <w:sz w:val="20"/>
                <w:szCs w:val="20"/>
                <w:lang w:val="es-PE" w:eastAsia="en-US"/>
              </w:rPr>
              <w:t>TÍTULO</w:t>
            </w:r>
          </w:p>
        </w:tc>
        <w:tc>
          <w:tcPr>
            <w:tcW w:w="25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7D33" w:rsidRPr="0088709B" w:rsidRDefault="009F7D33" w:rsidP="00B7086D">
            <w:pPr>
              <w:spacing w:line="276" w:lineRule="auto"/>
              <w:jc w:val="center"/>
              <w:rPr>
                <w:rFonts w:ascii="Arial" w:hAnsi="Arial" w:cs="Arial"/>
                <w:b/>
                <w:sz w:val="20"/>
                <w:szCs w:val="20"/>
                <w:lang w:val="es-PE" w:eastAsia="en-US"/>
              </w:rPr>
            </w:pPr>
            <w:r w:rsidRPr="0088709B">
              <w:rPr>
                <w:rFonts w:ascii="Arial" w:hAnsi="Arial" w:cs="Arial"/>
                <w:b/>
                <w:sz w:val="20"/>
                <w:szCs w:val="20"/>
                <w:lang w:val="es-PE" w:eastAsia="en-US"/>
              </w:rPr>
              <w:t>ORGANISMO EMISOR</w:t>
            </w:r>
          </w:p>
        </w:tc>
        <w:tc>
          <w:tcPr>
            <w:tcW w:w="708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F7D33" w:rsidRPr="0088709B" w:rsidRDefault="009F7D33" w:rsidP="00B7086D">
            <w:pPr>
              <w:spacing w:line="276" w:lineRule="auto"/>
              <w:jc w:val="center"/>
              <w:rPr>
                <w:rFonts w:ascii="Arial" w:hAnsi="Arial" w:cs="Arial"/>
                <w:b/>
                <w:sz w:val="20"/>
                <w:szCs w:val="20"/>
                <w:lang w:val="es-PE" w:eastAsia="en-US"/>
              </w:rPr>
            </w:pPr>
            <w:r w:rsidRPr="0088709B">
              <w:rPr>
                <w:rFonts w:ascii="Arial" w:hAnsi="Arial" w:cs="Arial"/>
                <w:b/>
                <w:sz w:val="20"/>
                <w:szCs w:val="20"/>
                <w:lang w:val="es-PE" w:eastAsia="en-US"/>
              </w:rPr>
              <w:t>RESUMEN</w:t>
            </w:r>
          </w:p>
        </w:tc>
      </w:tr>
      <w:tr w:rsidR="009F7D33" w:rsidRPr="00C9008F" w:rsidTr="00EA3698">
        <w:trPr>
          <w:trHeight w:val="699"/>
        </w:trPr>
        <w:tc>
          <w:tcPr>
            <w:tcW w:w="2411" w:type="dxa"/>
            <w:tcBorders>
              <w:top w:val="single" w:sz="4" w:space="0" w:color="auto"/>
              <w:left w:val="single" w:sz="4" w:space="0" w:color="auto"/>
              <w:bottom w:val="single" w:sz="4" w:space="0" w:color="auto"/>
              <w:right w:val="single" w:sz="4" w:space="0" w:color="auto"/>
            </w:tcBorders>
            <w:vAlign w:val="center"/>
          </w:tcPr>
          <w:p w:rsidR="009F7D33" w:rsidRPr="00F048C7" w:rsidRDefault="009F7D33" w:rsidP="00995A4F">
            <w:pPr>
              <w:spacing w:line="276" w:lineRule="auto"/>
              <w:jc w:val="center"/>
              <w:rPr>
                <w:rFonts w:ascii="Arial" w:hAnsi="Arial" w:cs="Arial"/>
                <w:sz w:val="19"/>
                <w:szCs w:val="19"/>
                <w:lang w:val="es-PE" w:eastAsia="en-US"/>
              </w:rPr>
            </w:pPr>
            <w:r>
              <w:rPr>
                <w:rFonts w:ascii="Arial" w:hAnsi="Arial" w:cs="Arial"/>
                <w:sz w:val="19"/>
                <w:szCs w:val="19"/>
                <w:lang w:val="es-PE" w:eastAsia="en-US"/>
              </w:rPr>
              <w:t>Resolución</w:t>
            </w:r>
            <w:r w:rsidR="00F62A8E">
              <w:rPr>
                <w:rFonts w:ascii="Arial" w:hAnsi="Arial" w:cs="Arial"/>
                <w:sz w:val="19"/>
                <w:szCs w:val="19"/>
                <w:lang w:val="es-PE" w:eastAsia="en-US"/>
              </w:rPr>
              <w:t xml:space="preserve"> Ministerial Nº 003</w:t>
            </w:r>
            <w:r>
              <w:rPr>
                <w:rFonts w:ascii="Arial" w:hAnsi="Arial" w:cs="Arial"/>
                <w:sz w:val="19"/>
                <w:szCs w:val="19"/>
                <w:lang w:val="es-PE" w:eastAsia="en-US"/>
              </w:rPr>
              <w:t>-201</w:t>
            </w:r>
            <w:r w:rsidR="00F62A8E">
              <w:rPr>
                <w:rFonts w:ascii="Arial" w:hAnsi="Arial" w:cs="Arial"/>
                <w:sz w:val="19"/>
                <w:szCs w:val="19"/>
                <w:lang w:val="es-PE" w:eastAsia="en-US"/>
              </w:rPr>
              <w:t>4</w:t>
            </w:r>
            <w:r>
              <w:rPr>
                <w:rFonts w:ascii="Arial" w:hAnsi="Arial" w:cs="Arial"/>
                <w:sz w:val="19"/>
                <w:szCs w:val="19"/>
                <w:lang w:val="es-PE" w:eastAsia="en-US"/>
              </w:rPr>
              <w:t>-</w:t>
            </w:r>
            <w:r w:rsidR="00F62A8E">
              <w:rPr>
                <w:rFonts w:ascii="Arial" w:hAnsi="Arial" w:cs="Arial"/>
                <w:sz w:val="19"/>
                <w:szCs w:val="19"/>
                <w:lang w:val="es-PE" w:eastAsia="en-US"/>
              </w:rPr>
              <w:t>EF/15</w:t>
            </w:r>
            <w:r w:rsidRPr="00F048C7">
              <w:rPr>
                <w:rFonts w:ascii="Arial" w:hAnsi="Arial" w:cs="Arial"/>
                <w:sz w:val="19"/>
                <w:szCs w:val="19"/>
                <w:lang w:val="es-PE" w:eastAsia="en-US"/>
              </w:rPr>
              <w:t xml:space="preserve"> </w:t>
            </w:r>
            <w:r w:rsidRPr="00995A4F">
              <w:rPr>
                <w:rFonts w:ascii="Arial" w:hAnsi="Arial" w:cs="Arial"/>
                <w:sz w:val="19"/>
                <w:szCs w:val="19"/>
                <w:lang w:val="es-PE" w:eastAsia="en-US"/>
              </w:rPr>
              <w:t>(0</w:t>
            </w:r>
            <w:r w:rsidR="00995A4F" w:rsidRPr="00995A4F">
              <w:rPr>
                <w:rFonts w:ascii="Arial" w:hAnsi="Arial" w:cs="Arial"/>
                <w:sz w:val="19"/>
                <w:szCs w:val="19"/>
                <w:lang w:val="es-PE" w:eastAsia="en-US"/>
              </w:rPr>
              <w:t>6</w:t>
            </w:r>
            <w:r w:rsidRPr="00995A4F">
              <w:rPr>
                <w:rFonts w:ascii="Arial" w:hAnsi="Arial" w:cs="Arial"/>
                <w:sz w:val="19"/>
                <w:szCs w:val="19"/>
                <w:lang w:val="es-PE" w:eastAsia="en-US"/>
              </w:rPr>
              <w:t>/01/2014)</w:t>
            </w:r>
          </w:p>
        </w:tc>
        <w:tc>
          <w:tcPr>
            <w:tcW w:w="2551" w:type="dxa"/>
            <w:tcBorders>
              <w:top w:val="single" w:sz="4" w:space="0" w:color="auto"/>
              <w:left w:val="single" w:sz="4" w:space="0" w:color="auto"/>
              <w:bottom w:val="single" w:sz="4" w:space="0" w:color="auto"/>
              <w:right w:val="single" w:sz="4" w:space="0" w:color="auto"/>
            </w:tcBorders>
            <w:vAlign w:val="center"/>
          </w:tcPr>
          <w:p w:rsidR="009F7D33" w:rsidRPr="00F048C7" w:rsidRDefault="00F62A8E" w:rsidP="00B7086D">
            <w:pPr>
              <w:spacing w:after="200" w:line="276" w:lineRule="auto"/>
              <w:jc w:val="center"/>
              <w:rPr>
                <w:rFonts w:ascii="Arial" w:hAnsi="Arial" w:cs="Arial"/>
                <w:sz w:val="19"/>
                <w:szCs w:val="19"/>
                <w:lang w:eastAsia="es-PE"/>
              </w:rPr>
            </w:pPr>
            <w:r>
              <w:rPr>
                <w:rFonts w:ascii="Arial" w:hAnsi="Arial" w:cs="Arial"/>
                <w:sz w:val="19"/>
                <w:szCs w:val="19"/>
                <w:lang w:eastAsia="es-PE"/>
              </w:rPr>
              <w:t>Aprobación de la Tabla de Valores Referenciales de Vehículos para efectos de determinar la base imponible del Impuesto al Patrimonio Vehicular correspondiente al Ejercicio 2014</w:t>
            </w:r>
          </w:p>
        </w:tc>
        <w:tc>
          <w:tcPr>
            <w:tcW w:w="2552" w:type="dxa"/>
            <w:tcBorders>
              <w:top w:val="single" w:sz="4" w:space="0" w:color="auto"/>
              <w:left w:val="single" w:sz="4" w:space="0" w:color="auto"/>
              <w:bottom w:val="single" w:sz="4" w:space="0" w:color="auto"/>
              <w:right w:val="single" w:sz="4" w:space="0" w:color="auto"/>
            </w:tcBorders>
            <w:vAlign w:val="center"/>
          </w:tcPr>
          <w:p w:rsidR="00F62A8E" w:rsidRPr="00F048C7" w:rsidRDefault="00F62A8E" w:rsidP="00F62A8E">
            <w:pPr>
              <w:jc w:val="center"/>
              <w:rPr>
                <w:rFonts w:ascii="Arial" w:hAnsi="Arial" w:cs="Arial"/>
                <w:sz w:val="19"/>
                <w:szCs w:val="19"/>
                <w:lang w:val="es-PE" w:eastAsia="en-US"/>
              </w:rPr>
            </w:pPr>
            <w:r>
              <w:rPr>
                <w:rFonts w:ascii="Arial" w:hAnsi="Arial" w:cs="Arial"/>
                <w:sz w:val="19"/>
                <w:szCs w:val="19"/>
                <w:lang w:val="es-PE" w:eastAsia="en-US"/>
              </w:rPr>
              <w:t>Ministerio de</w:t>
            </w:r>
            <w:r w:rsidRPr="00F62A8E">
              <w:rPr>
                <w:rFonts w:ascii="Arial" w:hAnsi="Arial" w:cs="Arial"/>
                <w:sz w:val="19"/>
                <w:szCs w:val="19"/>
                <w:lang w:val="es-PE" w:eastAsia="en-US"/>
              </w:rPr>
              <w:t xml:space="preserve"> Economía </w:t>
            </w:r>
            <w:r>
              <w:rPr>
                <w:rFonts w:ascii="Arial" w:hAnsi="Arial" w:cs="Arial"/>
                <w:sz w:val="19"/>
                <w:szCs w:val="19"/>
                <w:lang w:val="es-PE" w:eastAsia="en-US"/>
              </w:rPr>
              <w:t>y</w:t>
            </w:r>
            <w:r w:rsidRPr="00F62A8E">
              <w:rPr>
                <w:rFonts w:ascii="Arial" w:hAnsi="Arial" w:cs="Arial"/>
                <w:sz w:val="19"/>
                <w:szCs w:val="19"/>
                <w:lang w:val="es-PE" w:eastAsia="en-US"/>
              </w:rPr>
              <w:t xml:space="preserve"> Finanzas</w:t>
            </w:r>
          </w:p>
        </w:tc>
        <w:tc>
          <w:tcPr>
            <w:tcW w:w="7087" w:type="dxa"/>
            <w:tcBorders>
              <w:top w:val="single" w:sz="4" w:space="0" w:color="auto"/>
              <w:left w:val="single" w:sz="4" w:space="0" w:color="auto"/>
              <w:bottom w:val="single" w:sz="4" w:space="0" w:color="auto"/>
              <w:right w:val="single" w:sz="4" w:space="0" w:color="auto"/>
            </w:tcBorders>
            <w:vAlign w:val="center"/>
          </w:tcPr>
          <w:p w:rsidR="009F7D33" w:rsidRPr="00B7086D" w:rsidRDefault="009F7D33" w:rsidP="00B7086D">
            <w:pPr>
              <w:jc w:val="both"/>
              <w:rPr>
                <w:rFonts w:ascii="Arial" w:hAnsi="Arial" w:cs="Arial"/>
                <w:sz w:val="19"/>
                <w:szCs w:val="19"/>
                <w:lang w:val="es-PE" w:eastAsia="en-US"/>
              </w:rPr>
            </w:pPr>
          </w:p>
          <w:p w:rsidR="009F7D33" w:rsidRPr="00995A4F" w:rsidRDefault="00F62A8E" w:rsidP="00F62A8E">
            <w:pPr>
              <w:pStyle w:val="Prrafodelista"/>
              <w:numPr>
                <w:ilvl w:val="0"/>
                <w:numId w:val="29"/>
              </w:numPr>
              <w:jc w:val="both"/>
              <w:rPr>
                <w:sz w:val="19"/>
                <w:szCs w:val="19"/>
                <w:lang w:eastAsia="es-PE"/>
              </w:rPr>
            </w:pPr>
            <w:r>
              <w:rPr>
                <w:rFonts w:ascii="Arial" w:hAnsi="Arial" w:cs="Arial"/>
                <w:sz w:val="19"/>
                <w:szCs w:val="19"/>
                <w:lang w:val="es-PE" w:eastAsia="en-US"/>
              </w:rPr>
              <w:t xml:space="preserve">Se aprueba la Tabla </w:t>
            </w:r>
            <w:r>
              <w:rPr>
                <w:rFonts w:ascii="Arial" w:hAnsi="Arial" w:cs="Arial"/>
                <w:sz w:val="19"/>
                <w:szCs w:val="19"/>
                <w:lang w:eastAsia="es-PE"/>
              </w:rPr>
              <w:t>de Valores Referenciales de Vehículos para efectos de determinar la base imponible del Impuesto al Patrimonio Vehicular correspondiente al Ejercicio 2014, que como Anexo, forma parte de la presente Resolución.</w:t>
            </w:r>
          </w:p>
          <w:p w:rsidR="00995A4F" w:rsidRPr="00F62A8E" w:rsidRDefault="00995A4F" w:rsidP="00995A4F">
            <w:pPr>
              <w:pStyle w:val="Prrafodelista"/>
              <w:ind w:left="360"/>
              <w:jc w:val="both"/>
              <w:rPr>
                <w:sz w:val="19"/>
                <w:szCs w:val="19"/>
                <w:lang w:eastAsia="es-PE"/>
              </w:rPr>
            </w:pPr>
          </w:p>
          <w:p w:rsidR="00995A4F" w:rsidRPr="003F7D08" w:rsidRDefault="00995A4F" w:rsidP="00995A4F">
            <w:pPr>
              <w:pStyle w:val="Prrafodelista"/>
              <w:numPr>
                <w:ilvl w:val="0"/>
                <w:numId w:val="29"/>
              </w:numPr>
              <w:jc w:val="both"/>
              <w:rPr>
                <w:sz w:val="19"/>
                <w:szCs w:val="19"/>
                <w:lang w:eastAsia="es-PE"/>
              </w:rPr>
            </w:pPr>
            <w:r>
              <w:rPr>
                <w:rFonts w:ascii="Arial" w:hAnsi="Arial" w:cs="Arial"/>
                <w:sz w:val="19"/>
                <w:szCs w:val="19"/>
                <w:lang w:eastAsia="es-PE"/>
              </w:rPr>
              <w:t>Para efectos de determinar el valor referencial de aquellos vehículos afectos al Impuesto, cuyo año de fabricación sea anterior al 2011, se deberá multiplicar el valor del vehículo señalado para el año 2013 contenido en el Anexo de la presente Resolución Ministerial, por el factor indicado para el año al que corresponde su fabricación, comprendido en la siguiente tabla:</w:t>
            </w:r>
          </w:p>
          <w:p w:rsidR="003F7D08" w:rsidRPr="003F7D08" w:rsidRDefault="003F7D08" w:rsidP="003F7D08">
            <w:pPr>
              <w:pStyle w:val="Prrafodelista"/>
              <w:rPr>
                <w:sz w:val="19"/>
                <w:szCs w:val="19"/>
                <w:lang w:eastAsia="es-PE"/>
              </w:rPr>
            </w:pPr>
          </w:p>
          <w:p w:rsidR="003F7D08" w:rsidRDefault="003F7D08" w:rsidP="003F7D08">
            <w:pPr>
              <w:jc w:val="both"/>
              <w:rPr>
                <w:sz w:val="19"/>
                <w:szCs w:val="19"/>
                <w:lang w:eastAsia="es-PE"/>
              </w:rPr>
            </w:pPr>
          </w:p>
          <w:p w:rsidR="003F7D08" w:rsidRDefault="003F7D08" w:rsidP="003F7D08">
            <w:pPr>
              <w:jc w:val="both"/>
              <w:rPr>
                <w:sz w:val="19"/>
                <w:szCs w:val="19"/>
                <w:lang w:eastAsia="es-PE"/>
              </w:rPr>
            </w:pPr>
          </w:p>
          <w:p w:rsidR="003F7D08" w:rsidRPr="003F7D08" w:rsidRDefault="003F7D08" w:rsidP="003F7D08">
            <w:pPr>
              <w:jc w:val="both"/>
              <w:rPr>
                <w:sz w:val="19"/>
                <w:szCs w:val="19"/>
                <w:lang w:eastAsia="es-PE"/>
              </w:rPr>
            </w:pPr>
          </w:p>
          <w:p w:rsidR="00995A4F" w:rsidRPr="00995A4F" w:rsidRDefault="00995A4F" w:rsidP="00995A4F">
            <w:pPr>
              <w:pStyle w:val="Prrafodelista"/>
              <w:rPr>
                <w:sz w:val="19"/>
                <w:szCs w:val="19"/>
                <w:lang w:eastAsia="es-PE"/>
              </w:rPr>
            </w:pPr>
          </w:p>
          <w:tbl>
            <w:tblPr>
              <w:tblStyle w:val="Tablaconcuadrcula"/>
              <w:tblW w:w="0" w:type="auto"/>
              <w:tblInd w:w="1304" w:type="dxa"/>
              <w:tblLook w:val="04A0"/>
            </w:tblPr>
            <w:tblGrid>
              <w:gridCol w:w="2321"/>
              <w:gridCol w:w="2357"/>
            </w:tblGrid>
            <w:tr w:rsidR="00995A4F" w:rsidRPr="00995A4F" w:rsidTr="00995A4F">
              <w:tc>
                <w:tcPr>
                  <w:tcW w:w="2321" w:type="dxa"/>
                </w:tcPr>
                <w:p w:rsidR="00995A4F" w:rsidRPr="00995A4F" w:rsidRDefault="00995A4F" w:rsidP="00995A4F">
                  <w:pPr>
                    <w:pStyle w:val="Prrafodelista"/>
                    <w:ind w:left="0"/>
                    <w:jc w:val="center"/>
                    <w:rPr>
                      <w:rFonts w:ascii="Arial" w:hAnsi="Arial" w:cs="Arial"/>
                      <w:b/>
                      <w:sz w:val="16"/>
                      <w:szCs w:val="16"/>
                      <w:lang w:eastAsia="es-PE"/>
                    </w:rPr>
                  </w:pPr>
                  <w:r w:rsidRPr="00995A4F">
                    <w:rPr>
                      <w:rFonts w:ascii="Arial" w:hAnsi="Arial" w:cs="Arial"/>
                      <w:b/>
                      <w:sz w:val="16"/>
                      <w:szCs w:val="16"/>
                      <w:lang w:eastAsia="es-PE"/>
                    </w:rPr>
                    <w:lastRenderedPageBreak/>
                    <w:t>Año de Fabricación</w:t>
                  </w:r>
                </w:p>
              </w:tc>
              <w:tc>
                <w:tcPr>
                  <w:tcW w:w="2357" w:type="dxa"/>
                </w:tcPr>
                <w:p w:rsidR="00995A4F" w:rsidRPr="00995A4F" w:rsidRDefault="00995A4F" w:rsidP="00995A4F">
                  <w:pPr>
                    <w:pStyle w:val="Prrafodelista"/>
                    <w:ind w:left="0"/>
                    <w:jc w:val="center"/>
                    <w:rPr>
                      <w:rFonts w:ascii="Arial" w:hAnsi="Arial" w:cs="Arial"/>
                      <w:b/>
                      <w:sz w:val="16"/>
                      <w:szCs w:val="16"/>
                      <w:lang w:eastAsia="es-PE"/>
                    </w:rPr>
                  </w:pPr>
                  <w:r w:rsidRPr="00995A4F">
                    <w:rPr>
                      <w:rFonts w:ascii="Arial" w:hAnsi="Arial" w:cs="Arial"/>
                      <w:b/>
                      <w:sz w:val="16"/>
                      <w:szCs w:val="16"/>
                      <w:lang w:eastAsia="es-PE"/>
                    </w:rPr>
                    <w:t>Factor</w:t>
                  </w:r>
                </w:p>
              </w:tc>
            </w:tr>
            <w:tr w:rsidR="00995A4F" w:rsidRPr="00995A4F" w:rsidTr="00995A4F">
              <w:tc>
                <w:tcPr>
                  <w:tcW w:w="2321"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2010</w:t>
                  </w:r>
                </w:p>
              </w:tc>
              <w:tc>
                <w:tcPr>
                  <w:tcW w:w="2357"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0,7</w:t>
                  </w:r>
                </w:p>
              </w:tc>
            </w:tr>
            <w:tr w:rsidR="00995A4F" w:rsidTr="00995A4F">
              <w:tc>
                <w:tcPr>
                  <w:tcW w:w="2321"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2009</w:t>
                  </w:r>
                </w:p>
              </w:tc>
              <w:tc>
                <w:tcPr>
                  <w:tcW w:w="2357"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0,6</w:t>
                  </w:r>
                </w:p>
              </w:tc>
            </w:tr>
            <w:tr w:rsidR="00995A4F" w:rsidTr="00995A4F">
              <w:tc>
                <w:tcPr>
                  <w:tcW w:w="2321"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2008</w:t>
                  </w:r>
                </w:p>
              </w:tc>
              <w:tc>
                <w:tcPr>
                  <w:tcW w:w="2357"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0,5</w:t>
                  </w:r>
                </w:p>
              </w:tc>
            </w:tr>
            <w:tr w:rsidR="00995A4F" w:rsidTr="00995A4F">
              <w:tc>
                <w:tcPr>
                  <w:tcW w:w="2321"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2007</w:t>
                  </w:r>
                </w:p>
              </w:tc>
              <w:tc>
                <w:tcPr>
                  <w:tcW w:w="2357"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0,4</w:t>
                  </w:r>
                </w:p>
              </w:tc>
            </w:tr>
            <w:tr w:rsidR="00995A4F" w:rsidTr="00995A4F">
              <w:tc>
                <w:tcPr>
                  <w:tcW w:w="2321"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2006</w:t>
                  </w:r>
                </w:p>
              </w:tc>
              <w:tc>
                <w:tcPr>
                  <w:tcW w:w="2357"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0,3</w:t>
                  </w:r>
                </w:p>
              </w:tc>
            </w:tr>
            <w:tr w:rsidR="00995A4F" w:rsidTr="00995A4F">
              <w:tc>
                <w:tcPr>
                  <w:tcW w:w="2321"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2005</w:t>
                  </w:r>
                </w:p>
              </w:tc>
              <w:tc>
                <w:tcPr>
                  <w:tcW w:w="2357"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0,2</w:t>
                  </w:r>
                </w:p>
              </w:tc>
            </w:tr>
            <w:tr w:rsidR="00995A4F" w:rsidTr="00995A4F">
              <w:tc>
                <w:tcPr>
                  <w:tcW w:w="2321"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2004 y años anteriores</w:t>
                  </w:r>
                </w:p>
              </w:tc>
              <w:tc>
                <w:tcPr>
                  <w:tcW w:w="2357" w:type="dxa"/>
                </w:tcPr>
                <w:p w:rsidR="00995A4F" w:rsidRPr="00995A4F" w:rsidRDefault="00995A4F" w:rsidP="00995A4F">
                  <w:pPr>
                    <w:pStyle w:val="Prrafodelista"/>
                    <w:ind w:left="0"/>
                    <w:jc w:val="center"/>
                    <w:rPr>
                      <w:rFonts w:ascii="Arial" w:hAnsi="Arial" w:cs="Arial"/>
                      <w:sz w:val="16"/>
                      <w:szCs w:val="16"/>
                      <w:lang w:eastAsia="es-PE"/>
                    </w:rPr>
                  </w:pPr>
                  <w:r w:rsidRPr="00995A4F">
                    <w:rPr>
                      <w:rFonts w:ascii="Arial" w:hAnsi="Arial" w:cs="Arial"/>
                      <w:sz w:val="16"/>
                      <w:szCs w:val="16"/>
                      <w:lang w:eastAsia="es-PE"/>
                    </w:rPr>
                    <w:t>0,1</w:t>
                  </w:r>
                </w:p>
              </w:tc>
            </w:tr>
          </w:tbl>
          <w:p w:rsidR="00EA3698" w:rsidRPr="00EA3698" w:rsidRDefault="00EA3698" w:rsidP="00EA3698">
            <w:pPr>
              <w:pStyle w:val="Prrafodelista"/>
              <w:ind w:left="360"/>
              <w:jc w:val="both"/>
              <w:rPr>
                <w:sz w:val="19"/>
                <w:szCs w:val="19"/>
                <w:lang w:eastAsia="es-PE"/>
              </w:rPr>
            </w:pPr>
          </w:p>
          <w:p w:rsidR="00995A4F" w:rsidRPr="00995A4F" w:rsidRDefault="004F1442" w:rsidP="004F1442">
            <w:pPr>
              <w:pStyle w:val="Prrafodelista"/>
              <w:numPr>
                <w:ilvl w:val="0"/>
                <w:numId w:val="29"/>
              </w:numPr>
              <w:jc w:val="both"/>
              <w:rPr>
                <w:sz w:val="19"/>
                <w:szCs w:val="19"/>
                <w:lang w:eastAsia="es-PE"/>
              </w:rPr>
            </w:pPr>
            <w:r w:rsidRPr="004F1442">
              <w:rPr>
                <w:rFonts w:ascii="Arial" w:hAnsi="Arial" w:cs="Arial"/>
                <w:sz w:val="19"/>
                <w:szCs w:val="19"/>
                <w:lang w:eastAsia="es-PE"/>
              </w:rPr>
              <w:t>El valor determinado según el procedimiento antes mencionado, deberá ser redondeado a la decena de Nuevos Soles superior, si la cifra de unidades es de Cinco Nuevos Soles (S</w:t>
            </w:r>
            <w:bookmarkStart w:id="0" w:name="_GoBack"/>
            <w:r w:rsidRPr="004F1442">
              <w:rPr>
                <w:rFonts w:ascii="Arial" w:hAnsi="Arial" w:cs="Arial"/>
                <w:sz w:val="19"/>
                <w:szCs w:val="19"/>
                <w:lang w:eastAsia="es-PE"/>
              </w:rPr>
              <w:t>/</w:t>
            </w:r>
            <w:bookmarkEnd w:id="0"/>
            <w:r w:rsidRPr="004F1442">
              <w:rPr>
                <w:rFonts w:ascii="Arial" w:hAnsi="Arial" w:cs="Arial"/>
                <w:sz w:val="19"/>
                <w:szCs w:val="19"/>
                <w:lang w:eastAsia="es-PE"/>
              </w:rPr>
              <w:t>. 5,00) o mayor; o a la decena de Nuevos Soles inferior, si la cifra de unidades es menor a Cinco Nuevos Soles (S/. 5,00)</w:t>
            </w:r>
            <w:r>
              <w:rPr>
                <w:rFonts w:ascii="Arial" w:hAnsi="Arial" w:cs="Arial"/>
                <w:sz w:val="19"/>
                <w:szCs w:val="19"/>
                <w:lang w:eastAsia="es-PE"/>
              </w:rPr>
              <w:t>.</w:t>
            </w:r>
          </w:p>
        </w:tc>
      </w:tr>
    </w:tbl>
    <w:p w:rsidR="009F7D33" w:rsidRPr="00C86537" w:rsidRDefault="009F7D33" w:rsidP="004F1442">
      <w:pPr>
        <w:spacing w:after="200" w:line="276" w:lineRule="auto"/>
        <w:rPr>
          <w:rFonts w:asciiTheme="minorHAnsi" w:hAnsiTheme="minorHAnsi" w:cs="Arial"/>
          <w:b/>
          <w:caps/>
          <w:sz w:val="16"/>
          <w:szCs w:val="16"/>
        </w:rPr>
      </w:pPr>
    </w:p>
    <w:sectPr w:rsidR="009F7D33" w:rsidRPr="00C86537" w:rsidSect="00BA6EFB">
      <w:pgSz w:w="16838" w:h="11906" w:orient="landscape"/>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A88"/>
    <w:multiLevelType w:val="hybridMultilevel"/>
    <w:tmpl w:val="0CAEB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24573"/>
    <w:multiLevelType w:val="hybridMultilevel"/>
    <w:tmpl w:val="6C185A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1AE6E99"/>
    <w:multiLevelType w:val="hybridMultilevel"/>
    <w:tmpl w:val="7D3E1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8574D5"/>
    <w:multiLevelType w:val="hybridMultilevel"/>
    <w:tmpl w:val="CD5CCB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8495C4B"/>
    <w:multiLevelType w:val="hybridMultilevel"/>
    <w:tmpl w:val="C0FAB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8A1F17"/>
    <w:multiLevelType w:val="hybridMultilevel"/>
    <w:tmpl w:val="6E10D4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8A659F8"/>
    <w:multiLevelType w:val="hybridMultilevel"/>
    <w:tmpl w:val="6DA4B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0A5F33"/>
    <w:multiLevelType w:val="hybridMultilevel"/>
    <w:tmpl w:val="C554A6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EBA7AE9"/>
    <w:multiLevelType w:val="hybridMultilevel"/>
    <w:tmpl w:val="3D7AE818"/>
    <w:lvl w:ilvl="0" w:tplc="E5188248">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15F04BE"/>
    <w:multiLevelType w:val="hybridMultilevel"/>
    <w:tmpl w:val="2D96283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2BF62533"/>
    <w:multiLevelType w:val="hybridMultilevel"/>
    <w:tmpl w:val="BBD8CF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86943C4"/>
    <w:multiLevelType w:val="hybridMultilevel"/>
    <w:tmpl w:val="E6806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2603C9"/>
    <w:multiLevelType w:val="hybridMultilevel"/>
    <w:tmpl w:val="C8B0AC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AA81095"/>
    <w:multiLevelType w:val="hybridMultilevel"/>
    <w:tmpl w:val="9C5E4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04129E"/>
    <w:multiLevelType w:val="hybridMultilevel"/>
    <w:tmpl w:val="DC903EFA"/>
    <w:lvl w:ilvl="0" w:tplc="2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ED63E46"/>
    <w:multiLevelType w:val="hybridMultilevel"/>
    <w:tmpl w:val="6EF4EDE6"/>
    <w:lvl w:ilvl="0" w:tplc="EAA2D6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536E60A3"/>
    <w:multiLevelType w:val="hybridMultilevel"/>
    <w:tmpl w:val="076ACBD8"/>
    <w:lvl w:ilvl="0" w:tplc="13D89330">
      <w:numFmt w:val="bullet"/>
      <w:lvlText w:val="-"/>
      <w:lvlJc w:val="left"/>
      <w:pPr>
        <w:ind w:left="720" w:hanging="360"/>
      </w:pPr>
      <w:rPr>
        <w:rFonts w:ascii="Arial" w:eastAsia="Times New Roman"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32344B"/>
    <w:multiLevelType w:val="hybridMultilevel"/>
    <w:tmpl w:val="9C4E02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58E76D37"/>
    <w:multiLevelType w:val="hybridMultilevel"/>
    <w:tmpl w:val="48F2D7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5EC629FE"/>
    <w:multiLevelType w:val="hybridMultilevel"/>
    <w:tmpl w:val="8ADCB3B6"/>
    <w:lvl w:ilvl="0" w:tplc="A43284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2396D52"/>
    <w:multiLevelType w:val="hybridMultilevel"/>
    <w:tmpl w:val="DD825684"/>
    <w:lvl w:ilvl="0" w:tplc="91ACE9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5193EC5"/>
    <w:multiLevelType w:val="hybridMultilevel"/>
    <w:tmpl w:val="A55C2E82"/>
    <w:lvl w:ilvl="0" w:tplc="E518824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6E82763"/>
    <w:multiLevelType w:val="hybridMultilevel"/>
    <w:tmpl w:val="EA22ABB6"/>
    <w:lvl w:ilvl="0" w:tplc="5D6C85AE">
      <w:start w:val="3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C47224A"/>
    <w:multiLevelType w:val="hybridMultilevel"/>
    <w:tmpl w:val="A4D4E0EA"/>
    <w:lvl w:ilvl="0" w:tplc="C5D891C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DDC623A"/>
    <w:multiLevelType w:val="hybridMultilevel"/>
    <w:tmpl w:val="35242B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72B612DC"/>
    <w:multiLevelType w:val="hybridMultilevel"/>
    <w:tmpl w:val="8FC27D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67D65AA"/>
    <w:multiLevelType w:val="hybridMultilevel"/>
    <w:tmpl w:val="D34EF6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77A83D14"/>
    <w:multiLevelType w:val="hybridMultilevel"/>
    <w:tmpl w:val="F5F201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F5E1D75"/>
    <w:multiLevelType w:val="hybridMultilevel"/>
    <w:tmpl w:val="77BAA5A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1"/>
  </w:num>
  <w:num w:numId="2">
    <w:abstractNumId w:val="10"/>
  </w:num>
  <w:num w:numId="3">
    <w:abstractNumId w:val="16"/>
  </w:num>
  <w:num w:numId="4">
    <w:abstractNumId w:val="3"/>
  </w:num>
  <w:num w:numId="5">
    <w:abstractNumId w:val="28"/>
  </w:num>
  <w:num w:numId="6">
    <w:abstractNumId w:val="25"/>
  </w:num>
  <w:num w:numId="7">
    <w:abstractNumId w:val="26"/>
  </w:num>
  <w:num w:numId="8">
    <w:abstractNumId w:val="11"/>
  </w:num>
  <w:num w:numId="9">
    <w:abstractNumId w:val="5"/>
  </w:num>
  <w:num w:numId="10">
    <w:abstractNumId w:val="21"/>
  </w:num>
  <w:num w:numId="11">
    <w:abstractNumId w:val="8"/>
  </w:num>
  <w:num w:numId="12">
    <w:abstractNumId w:val="19"/>
  </w:num>
  <w:num w:numId="13">
    <w:abstractNumId w:val="2"/>
  </w:num>
  <w:num w:numId="14">
    <w:abstractNumId w:val="27"/>
  </w:num>
  <w:num w:numId="15">
    <w:abstractNumId w:val="22"/>
  </w:num>
  <w:num w:numId="16">
    <w:abstractNumId w:val="20"/>
  </w:num>
  <w:num w:numId="17">
    <w:abstractNumId w:val="15"/>
  </w:num>
  <w:num w:numId="18">
    <w:abstractNumId w:val="6"/>
  </w:num>
  <w:num w:numId="19">
    <w:abstractNumId w:val="24"/>
  </w:num>
  <w:num w:numId="20">
    <w:abstractNumId w:val="12"/>
  </w:num>
  <w:num w:numId="21">
    <w:abstractNumId w:val="18"/>
  </w:num>
  <w:num w:numId="22">
    <w:abstractNumId w:val="7"/>
  </w:num>
  <w:num w:numId="23">
    <w:abstractNumId w:val="4"/>
  </w:num>
  <w:num w:numId="24">
    <w:abstractNumId w:val="13"/>
  </w:num>
  <w:num w:numId="25">
    <w:abstractNumId w:val="0"/>
  </w:num>
  <w:num w:numId="26">
    <w:abstractNumId w:val="9"/>
  </w:num>
  <w:num w:numId="27">
    <w:abstractNumId w:val="17"/>
  </w:num>
  <w:num w:numId="28">
    <w:abstractNumId w:val="5"/>
  </w:num>
  <w:num w:numId="29">
    <w:abstractNumId w:val="14"/>
  </w:num>
  <w:num w:numId="30">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5D0FDF"/>
    <w:rsid w:val="00003B07"/>
    <w:rsid w:val="00006B07"/>
    <w:rsid w:val="00010377"/>
    <w:rsid w:val="000140E1"/>
    <w:rsid w:val="0001671C"/>
    <w:rsid w:val="00017D70"/>
    <w:rsid w:val="00023DF8"/>
    <w:rsid w:val="00026DD3"/>
    <w:rsid w:val="0003022D"/>
    <w:rsid w:val="00031DEF"/>
    <w:rsid w:val="0003271D"/>
    <w:rsid w:val="00033CD6"/>
    <w:rsid w:val="00037DC5"/>
    <w:rsid w:val="00043426"/>
    <w:rsid w:val="00043E6F"/>
    <w:rsid w:val="00050798"/>
    <w:rsid w:val="000520FC"/>
    <w:rsid w:val="00054B67"/>
    <w:rsid w:val="00056A8A"/>
    <w:rsid w:val="00057663"/>
    <w:rsid w:val="00061CAC"/>
    <w:rsid w:val="00061E5B"/>
    <w:rsid w:val="00065F23"/>
    <w:rsid w:val="00070002"/>
    <w:rsid w:val="0007008F"/>
    <w:rsid w:val="000707A6"/>
    <w:rsid w:val="00071480"/>
    <w:rsid w:val="00076A16"/>
    <w:rsid w:val="000776F3"/>
    <w:rsid w:val="00077B00"/>
    <w:rsid w:val="0008005C"/>
    <w:rsid w:val="000813B1"/>
    <w:rsid w:val="00081DD2"/>
    <w:rsid w:val="00084B94"/>
    <w:rsid w:val="000860FE"/>
    <w:rsid w:val="0008677B"/>
    <w:rsid w:val="000918B6"/>
    <w:rsid w:val="000931BC"/>
    <w:rsid w:val="00097CBB"/>
    <w:rsid w:val="000A2C44"/>
    <w:rsid w:val="000A36DC"/>
    <w:rsid w:val="000B1913"/>
    <w:rsid w:val="000B191E"/>
    <w:rsid w:val="000B2A3B"/>
    <w:rsid w:val="000B63B7"/>
    <w:rsid w:val="000C00FC"/>
    <w:rsid w:val="000C068C"/>
    <w:rsid w:val="000D3F35"/>
    <w:rsid w:val="000D64F7"/>
    <w:rsid w:val="000D783B"/>
    <w:rsid w:val="000E128A"/>
    <w:rsid w:val="000E3B20"/>
    <w:rsid w:val="000E51EF"/>
    <w:rsid w:val="000E5FF3"/>
    <w:rsid w:val="000E6B68"/>
    <w:rsid w:val="000F00D0"/>
    <w:rsid w:val="000F2DE6"/>
    <w:rsid w:val="000F2FEE"/>
    <w:rsid w:val="000F3C89"/>
    <w:rsid w:val="000F5F82"/>
    <w:rsid w:val="000F7C77"/>
    <w:rsid w:val="001011BE"/>
    <w:rsid w:val="001044DD"/>
    <w:rsid w:val="0012003C"/>
    <w:rsid w:val="00130251"/>
    <w:rsid w:val="00131585"/>
    <w:rsid w:val="00140200"/>
    <w:rsid w:val="0014297A"/>
    <w:rsid w:val="00143462"/>
    <w:rsid w:val="00145344"/>
    <w:rsid w:val="001572C0"/>
    <w:rsid w:val="00160B70"/>
    <w:rsid w:val="0016108E"/>
    <w:rsid w:val="001631FA"/>
    <w:rsid w:val="00167080"/>
    <w:rsid w:val="00171879"/>
    <w:rsid w:val="00176AD6"/>
    <w:rsid w:val="001834FC"/>
    <w:rsid w:val="00186A1D"/>
    <w:rsid w:val="00186FFC"/>
    <w:rsid w:val="001927D0"/>
    <w:rsid w:val="001968BD"/>
    <w:rsid w:val="001970D8"/>
    <w:rsid w:val="00197F28"/>
    <w:rsid w:val="001A06AC"/>
    <w:rsid w:val="001A1E6B"/>
    <w:rsid w:val="001B0E4D"/>
    <w:rsid w:val="001B22F9"/>
    <w:rsid w:val="001B56FB"/>
    <w:rsid w:val="001B70F6"/>
    <w:rsid w:val="001C6BB9"/>
    <w:rsid w:val="001D004E"/>
    <w:rsid w:val="001D0D3E"/>
    <w:rsid w:val="001E3217"/>
    <w:rsid w:val="001E68F8"/>
    <w:rsid w:val="001F0BBC"/>
    <w:rsid w:val="001F4F64"/>
    <w:rsid w:val="00201672"/>
    <w:rsid w:val="0020707A"/>
    <w:rsid w:val="0020770C"/>
    <w:rsid w:val="00207B51"/>
    <w:rsid w:val="002144E8"/>
    <w:rsid w:val="0021473E"/>
    <w:rsid w:val="00214A2B"/>
    <w:rsid w:val="0021727B"/>
    <w:rsid w:val="00220EB3"/>
    <w:rsid w:val="002227A1"/>
    <w:rsid w:val="0022473E"/>
    <w:rsid w:val="00226271"/>
    <w:rsid w:val="00226352"/>
    <w:rsid w:val="002309CF"/>
    <w:rsid w:val="00234865"/>
    <w:rsid w:val="00235B37"/>
    <w:rsid w:val="0024516E"/>
    <w:rsid w:val="002457EA"/>
    <w:rsid w:val="00247A3F"/>
    <w:rsid w:val="00250EA9"/>
    <w:rsid w:val="0025322D"/>
    <w:rsid w:val="00253E4E"/>
    <w:rsid w:val="00254001"/>
    <w:rsid w:val="00255B41"/>
    <w:rsid w:val="00263D1D"/>
    <w:rsid w:val="00265139"/>
    <w:rsid w:val="002678AD"/>
    <w:rsid w:val="00270735"/>
    <w:rsid w:val="00273118"/>
    <w:rsid w:val="002753BE"/>
    <w:rsid w:val="00275BE3"/>
    <w:rsid w:val="002824A1"/>
    <w:rsid w:val="00292AE6"/>
    <w:rsid w:val="00295585"/>
    <w:rsid w:val="00296975"/>
    <w:rsid w:val="00297325"/>
    <w:rsid w:val="002974F2"/>
    <w:rsid w:val="002A2BC8"/>
    <w:rsid w:val="002A56D8"/>
    <w:rsid w:val="002A6FA0"/>
    <w:rsid w:val="002B0AD9"/>
    <w:rsid w:val="002B140C"/>
    <w:rsid w:val="002B141E"/>
    <w:rsid w:val="002B250C"/>
    <w:rsid w:val="002B2F3A"/>
    <w:rsid w:val="002B31C3"/>
    <w:rsid w:val="002B3450"/>
    <w:rsid w:val="002B379B"/>
    <w:rsid w:val="002C05A2"/>
    <w:rsid w:val="002C0AAC"/>
    <w:rsid w:val="002C143C"/>
    <w:rsid w:val="002C295F"/>
    <w:rsid w:val="002C34CC"/>
    <w:rsid w:val="002C4C51"/>
    <w:rsid w:val="002C5D74"/>
    <w:rsid w:val="002C6700"/>
    <w:rsid w:val="002C6D3C"/>
    <w:rsid w:val="002C700F"/>
    <w:rsid w:val="002C73F3"/>
    <w:rsid w:val="002D04CF"/>
    <w:rsid w:val="002D328C"/>
    <w:rsid w:val="002D54B4"/>
    <w:rsid w:val="002E3A38"/>
    <w:rsid w:val="002E3E7A"/>
    <w:rsid w:val="002E6C3B"/>
    <w:rsid w:val="002F3187"/>
    <w:rsid w:val="002F37A6"/>
    <w:rsid w:val="003018B7"/>
    <w:rsid w:val="003025D1"/>
    <w:rsid w:val="0031071D"/>
    <w:rsid w:val="00310D2A"/>
    <w:rsid w:val="0031170F"/>
    <w:rsid w:val="0031262C"/>
    <w:rsid w:val="003145A8"/>
    <w:rsid w:val="003177FE"/>
    <w:rsid w:val="00317D17"/>
    <w:rsid w:val="00322ED1"/>
    <w:rsid w:val="003253FA"/>
    <w:rsid w:val="00327CE0"/>
    <w:rsid w:val="00331B25"/>
    <w:rsid w:val="00334D47"/>
    <w:rsid w:val="0034094F"/>
    <w:rsid w:val="00341EDD"/>
    <w:rsid w:val="00342007"/>
    <w:rsid w:val="003537A2"/>
    <w:rsid w:val="00375A3E"/>
    <w:rsid w:val="00376FB8"/>
    <w:rsid w:val="003834DD"/>
    <w:rsid w:val="00383D61"/>
    <w:rsid w:val="003850E8"/>
    <w:rsid w:val="00387AF6"/>
    <w:rsid w:val="00390C82"/>
    <w:rsid w:val="0039172B"/>
    <w:rsid w:val="0039407E"/>
    <w:rsid w:val="00394E3B"/>
    <w:rsid w:val="00395893"/>
    <w:rsid w:val="003A035A"/>
    <w:rsid w:val="003A3EE7"/>
    <w:rsid w:val="003B490B"/>
    <w:rsid w:val="003B5748"/>
    <w:rsid w:val="003C15DF"/>
    <w:rsid w:val="003C1F19"/>
    <w:rsid w:val="003C6055"/>
    <w:rsid w:val="003C6B38"/>
    <w:rsid w:val="003D1988"/>
    <w:rsid w:val="003D44E5"/>
    <w:rsid w:val="003D602C"/>
    <w:rsid w:val="003D79DD"/>
    <w:rsid w:val="003E10BC"/>
    <w:rsid w:val="003E330B"/>
    <w:rsid w:val="003E3D04"/>
    <w:rsid w:val="003E591E"/>
    <w:rsid w:val="003E6B4F"/>
    <w:rsid w:val="003E7A34"/>
    <w:rsid w:val="003F106C"/>
    <w:rsid w:val="003F218C"/>
    <w:rsid w:val="003F4895"/>
    <w:rsid w:val="003F7D08"/>
    <w:rsid w:val="00401EF0"/>
    <w:rsid w:val="00405022"/>
    <w:rsid w:val="00407644"/>
    <w:rsid w:val="0041002B"/>
    <w:rsid w:val="004134AB"/>
    <w:rsid w:val="00417F70"/>
    <w:rsid w:val="00420EBE"/>
    <w:rsid w:val="00422B46"/>
    <w:rsid w:val="004310F7"/>
    <w:rsid w:val="004311B0"/>
    <w:rsid w:val="00432588"/>
    <w:rsid w:val="00432D46"/>
    <w:rsid w:val="00435F0B"/>
    <w:rsid w:val="00437CD3"/>
    <w:rsid w:val="00440B98"/>
    <w:rsid w:val="00443B98"/>
    <w:rsid w:val="0045095A"/>
    <w:rsid w:val="00451239"/>
    <w:rsid w:val="00452BE1"/>
    <w:rsid w:val="0045740D"/>
    <w:rsid w:val="004641C3"/>
    <w:rsid w:val="00467D9A"/>
    <w:rsid w:val="0047024A"/>
    <w:rsid w:val="00470251"/>
    <w:rsid w:val="004702DB"/>
    <w:rsid w:val="004735F5"/>
    <w:rsid w:val="00477344"/>
    <w:rsid w:val="0048091A"/>
    <w:rsid w:val="004928B7"/>
    <w:rsid w:val="00494EFB"/>
    <w:rsid w:val="004A73E8"/>
    <w:rsid w:val="004B2748"/>
    <w:rsid w:val="004B2B67"/>
    <w:rsid w:val="004C23DA"/>
    <w:rsid w:val="004C58E9"/>
    <w:rsid w:val="004C5A62"/>
    <w:rsid w:val="004D212A"/>
    <w:rsid w:val="004E0992"/>
    <w:rsid w:val="004E18B1"/>
    <w:rsid w:val="004E349C"/>
    <w:rsid w:val="004F09C3"/>
    <w:rsid w:val="004F1442"/>
    <w:rsid w:val="004F1528"/>
    <w:rsid w:val="004F1DA1"/>
    <w:rsid w:val="004F25AF"/>
    <w:rsid w:val="004F3E56"/>
    <w:rsid w:val="004F4B5A"/>
    <w:rsid w:val="004F5415"/>
    <w:rsid w:val="00504EDD"/>
    <w:rsid w:val="00510D05"/>
    <w:rsid w:val="005201FF"/>
    <w:rsid w:val="005235F2"/>
    <w:rsid w:val="005236F3"/>
    <w:rsid w:val="00524F53"/>
    <w:rsid w:val="005313E3"/>
    <w:rsid w:val="005325E1"/>
    <w:rsid w:val="00535528"/>
    <w:rsid w:val="005357D2"/>
    <w:rsid w:val="00535FBB"/>
    <w:rsid w:val="00540170"/>
    <w:rsid w:val="00541D0D"/>
    <w:rsid w:val="0054213C"/>
    <w:rsid w:val="0054348E"/>
    <w:rsid w:val="00543F8F"/>
    <w:rsid w:val="00545929"/>
    <w:rsid w:val="00545E12"/>
    <w:rsid w:val="0054625C"/>
    <w:rsid w:val="00553DAC"/>
    <w:rsid w:val="005617C0"/>
    <w:rsid w:val="00563C25"/>
    <w:rsid w:val="00563F87"/>
    <w:rsid w:val="00570775"/>
    <w:rsid w:val="005708AE"/>
    <w:rsid w:val="00572AC7"/>
    <w:rsid w:val="0057450F"/>
    <w:rsid w:val="0057784D"/>
    <w:rsid w:val="005812BF"/>
    <w:rsid w:val="00583C18"/>
    <w:rsid w:val="00592491"/>
    <w:rsid w:val="005925F5"/>
    <w:rsid w:val="00594F56"/>
    <w:rsid w:val="00596DF3"/>
    <w:rsid w:val="005A1FBB"/>
    <w:rsid w:val="005A2245"/>
    <w:rsid w:val="005A3839"/>
    <w:rsid w:val="005B276D"/>
    <w:rsid w:val="005C7AA7"/>
    <w:rsid w:val="005C7F42"/>
    <w:rsid w:val="005D0FDF"/>
    <w:rsid w:val="005D4F30"/>
    <w:rsid w:val="005D64DB"/>
    <w:rsid w:val="005D7C28"/>
    <w:rsid w:val="005E0108"/>
    <w:rsid w:val="005E0D65"/>
    <w:rsid w:val="005E29B9"/>
    <w:rsid w:val="005E2FA6"/>
    <w:rsid w:val="005F0914"/>
    <w:rsid w:val="005F1DCE"/>
    <w:rsid w:val="005F763C"/>
    <w:rsid w:val="00605369"/>
    <w:rsid w:val="006066FF"/>
    <w:rsid w:val="006108D8"/>
    <w:rsid w:val="00621120"/>
    <w:rsid w:val="00625BE8"/>
    <w:rsid w:val="006265C2"/>
    <w:rsid w:val="00633449"/>
    <w:rsid w:val="00633D20"/>
    <w:rsid w:val="006424DA"/>
    <w:rsid w:val="00651EEC"/>
    <w:rsid w:val="00655214"/>
    <w:rsid w:val="00656DDF"/>
    <w:rsid w:val="006627A1"/>
    <w:rsid w:val="00662DEA"/>
    <w:rsid w:val="00663856"/>
    <w:rsid w:val="0067550D"/>
    <w:rsid w:val="006759FB"/>
    <w:rsid w:val="006760F4"/>
    <w:rsid w:val="0067633C"/>
    <w:rsid w:val="00680F19"/>
    <w:rsid w:val="006816D2"/>
    <w:rsid w:val="006838F0"/>
    <w:rsid w:val="006841D8"/>
    <w:rsid w:val="00684294"/>
    <w:rsid w:val="00692429"/>
    <w:rsid w:val="00694439"/>
    <w:rsid w:val="006A14E8"/>
    <w:rsid w:val="006A2735"/>
    <w:rsid w:val="006A6882"/>
    <w:rsid w:val="006B5977"/>
    <w:rsid w:val="006B5B70"/>
    <w:rsid w:val="006B6B22"/>
    <w:rsid w:val="006B7E39"/>
    <w:rsid w:val="006C338D"/>
    <w:rsid w:val="006D2504"/>
    <w:rsid w:val="006D3A82"/>
    <w:rsid w:val="006D4575"/>
    <w:rsid w:val="006D6F40"/>
    <w:rsid w:val="006D7B12"/>
    <w:rsid w:val="006E0758"/>
    <w:rsid w:val="006E16B8"/>
    <w:rsid w:val="006F4F91"/>
    <w:rsid w:val="00700BA6"/>
    <w:rsid w:val="0070456D"/>
    <w:rsid w:val="007049DF"/>
    <w:rsid w:val="00710F8B"/>
    <w:rsid w:val="00714716"/>
    <w:rsid w:val="00714DAB"/>
    <w:rsid w:val="00721C6B"/>
    <w:rsid w:val="007224E3"/>
    <w:rsid w:val="00726351"/>
    <w:rsid w:val="00730A84"/>
    <w:rsid w:val="00740F95"/>
    <w:rsid w:val="007477F6"/>
    <w:rsid w:val="0075079E"/>
    <w:rsid w:val="00754A5C"/>
    <w:rsid w:val="007555B4"/>
    <w:rsid w:val="007559AF"/>
    <w:rsid w:val="007717EF"/>
    <w:rsid w:val="0078033D"/>
    <w:rsid w:val="00780E55"/>
    <w:rsid w:val="007826DF"/>
    <w:rsid w:val="0078347F"/>
    <w:rsid w:val="007845A9"/>
    <w:rsid w:val="00786DEC"/>
    <w:rsid w:val="007910AD"/>
    <w:rsid w:val="007A3603"/>
    <w:rsid w:val="007A5988"/>
    <w:rsid w:val="007B2AD8"/>
    <w:rsid w:val="007B3227"/>
    <w:rsid w:val="007B48A1"/>
    <w:rsid w:val="007C4CE1"/>
    <w:rsid w:val="007D073E"/>
    <w:rsid w:val="007D3C4E"/>
    <w:rsid w:val="007D7A35"/>
    <w:rsid w:val="007D7FEE"/>
    <w:rsid w:val="007E3523"/>
    <w:rsid w:val="007E5C4D"/>
    <w:rsid w:val="007F1CE9"/>
    <w:rsid w:val="007F581C"/>
    <w:rsid w:val="007F7750"/>
    <w:rsid w:val="0080076B"/>
    <w:rsid w:val="00800870"/>
    <w:rsid w:val="00801918"/>
    <w:rsid w:val="00810014"/>
    <w:rsid w:val="0081215B"/>
    <w:rsid w:val="00814A75"/>
    <w:rsid w:val="00815256"/>
    <w:rsid w:val="00815BEB"/>
    <w:rsid w:val="0081614D"/>
    <w:rsid w:val="00816A4E"/>
    <w:rsid w:val="00817C01"/>
    <w:rsid w:val="00821690"/>
    <w:rsid w:val="00824A31"/>
    <w:rsid w:val="0083023A"/>
    <w:rsid w:val="00832574"/>
    <w:rsid w:val="00835897"/>
    <w:rsid w:val="00836864"/>
    <w:rsid w:val="008368BE"/>
    <w:rsid w:val="008402DC"/>
    <w:rsid w:val="00840E4D"/>
    <w:rsid w:val="00847BC2"/>
    <w:rsid w:val="00847C1F"/>
    <w:rsid w:val="00851F82"/>
    <w:rsid w:val="00852A8D"/>
    <w:rsid w:val="00857037"/>
    <w:rsid w:val="00866B8B"/>
    <w:rsid w:val="00873F7B"/>
    <w:rsid w:val="008770C1"/>
    <w:rsid w:val="008803A4"/>
    <w:rsid w:val="00881301"/>
    <w:rsid w:val="00883C9C"/>
    <w:rsid w:val="0088709B"/>
    <w:rsid w:val="0089427B"/>
    <w:rsid w:val="0089437F"/>
    <w:rsid w:val="008A15C3"/>
    <w:rsid w:val="008A4EE8"/>
    <w:rsid w:val="008A5CE4"/>
    <w:rsid w:val="008B01E6"/>
    <w:rsid w:val="008B1708"/>
    <w:rsid w:val="008B2D00"/>
    <w:rsid w:val="008B3508"/>
    <w:rsid w:val="008B5B76"/>
    <w:rsid w:val="008B67DE"/>
    <w:rsid w:val="008B7859"/>
    <w:rsid w:val="008C04C0"/>
    <w:rsid w:val="008C25DC"/>
    <w:rsid w:val="008C351A"/>
    <w:rsid w:val="008D01AF"/>
    <w:rsid w:val="008D35B1"/>
    <w:rsid w:val="008D7B9C"/>
    <w:rsid w:val="008D7BE4"/>
    <w:rsid w:val="008D7FE0"/>
    <w:rsid w:val="008E1E6A"/>
    <w:rsid w:val="008E22A1"/>
    <w:rsid w:val="008E2DB6"/>
    <w:rsid w:val="008E36CA"/>
    <w:rsid w:val="008E581E"/>
    <w:rsid w:val="008F2844"/>
    <w:rsid w:val="008F3BDE"/>
    <w:rsid w:val="00901120"/>
    <w:rsid w:val="0090239E"/>
    <w:rsid w:val="009037D8"/>
    <w:rsid w:val="00903FBD"/>
    <w:rsid w:val="00910137"/>
    <w:rsid w:val="00910A8C"/>
    <w:rsid w:val="00912ED5"/>
    <w:rsid w:val="009163F2"/>
    <w:rsid w:val="009208D6"/>
    <w:rsid w:val="00926EB1"/>
    <w:rsid w:val="009277CF"/>
    <w:rsid w:val="0093133C"/>
    <w:rsid w:val="00933191"/>
    <w:rsid w:val="00935336"/>
    <w:rsid w:val="00946A18"/>
    <w:rsid w:val="00947AE0"/>
    <w:rsid w:val="0095196C"/>
    <w:rsid w:val="0095278C"/>
    <w:rsid w:val="00953122"/>
    <w:rsid w:val="009634E0"/>
    <w:rsid w:val="00966B98"/>
    <w:rsid w:val="009723F5"/>
    <w:rsid w:val="00977E7E"/>
    <w:rsid w:val="00985C62"/>
    <w:rsid w:val="00992FFD"/>
    <w:rsid w:val="00994CB9"/>
    <w:rsid w:val="00995A37"/>
    <w:rsid w:val="00995A4F"/>
    <w:rsid w:val="009A0E9D"/>
    <w:rsid w:val="009A1BF7"/>
    <w:rsid w:val="009A400E"/>
    <w:rsid w:val="009B1029"/>
    <w:rsid w:val="009C1634"/>
    <w:rsid w:val="009C6FDB"/>
    <w:rsid w:val="009D2A80"/>
    <w:rsid w:val="009D348F"/>
    <w:rsid w:val="009D4C11"/>
    <w:rsid w:val="009D5DF5"/>
    <w:rsid w:val="009D6341"/>
    <w:rsid w:val="009D7C2C"/>
    <w:rsid w:val="009E0A8E"/>
    <w:rsid w:val="009E18D6"/>
    <w:rsid w:val="009E370F"/>
    <w:rsid w:val="009F1289"/>
    <w:rsid w:val="009F7D33"/>
    <w:rsid w:val="00A00136"/>
    <w:rsid w:val="00A04216"/>
    <w:rsid w:val="00A04224"/>
    <w:rsid w:val="00A105F3"/>
    <w:rsid w:val="00A30C29"/>
    <w:rsid w:val="00A32D4D"/>
    <w:rsid w:val="00A36579"/>
    <w:rsid w:val="00A36646"/>
    <w:rsid w:val="00A36955"/>
    <w:rsid w:val="00A43B0A"/>
    <w:rsid w:val="00A4582A"/>
    <w:rsid w:val="00A463EE"/>
    <w:rsid w:val="00A46B21"/>
    <w:rsid w:val="00A50349"/>
    <w:rsid w:val="00A52D3E"/>
    <w:rsid w:val="00A61ECE"/>
    <w:rsid w:val="00A70DD6"/>
    <w:rsid w:val="00A71B15"/>
    <w:rsid w:val="00A74A7E"/>
    <w:rsid w:val="00A758DB"/>
    <w:rsid w:val="00A824E7"/>
    <w:rsid w:val="00A826D3"/>
    <w:rsid w:val="00A84245"/>
    <w:rsid w:val="00AA387A"/>
    <w:rsid w:val="00AA5211"/>
    <w:rsid w:val="00AA60A2"/>
    <w:rsid w:val="00AA61C0"/>
    <w:rsid w:val="00AA6C91"/>
    <w:rsid w:val="00AB33FA"/>
    <w:rsid w:val="00AB532A"/>
    <w:rsid w:val="00AC1E54"/>
    <w:rsid w:val="00AD3901"/>
    <w:rsid w:val="00AD3AD9"/>
    <w:rsid w:val="00AD4ED9"/>
    <w:rsid w:val="00AE2D77"/>
    <w:rsid w:val="00AE4737"/>
    <w:rsid w:val="00B0118C"/>
    <w:rsid w:val="00B02F47"/>
    <w:rsid w:val="00B12705"/>
    <w:rsid w:val="00B12F01"/>
    <w:rsid w:val="00B14B5F"/>
    <w:rsid w:val="00B1579B"/>
    <w:rsid w:val="00B15865"/>
    <w:rsid w:val="00B16558"/>
    <w:rsid w:val="00B17C6C"/>
    <w:rsid w:val="00B223FF"/>
    <w:rsid w:val="00B230D2"/>
    <w:rsid w:val="00B23759"/>
    <w:rsid w:val="00B240DB"/>
    <w:rsid w:val="00B31245"/>
    <w:rsid w:val="00B32651"/>
    <w:rsid w:val="00B41DCF"/>
    <w:rsid w:val="00B45260"/>
    <w:rsid w:val="00B46058"/>
    <w:rsid w:val="00B460BF"/>
    <w:rsid w:val="00B5325E"/>
    <w:rsid w:val="00B64B25"/>
    <w:rsid w:val="00B661E6"/>
    <w:rsid w:val="00B67ECC"/>
    <w:rsid w:val="00B7086D"/>
    <w:rsid w:val="00B7305F"/>
    <w:rsid w:val="00B7311D"/>
    <w:rsid w:val="00B75555"/>
    <w:rsid w:val="00B8033F"/>
    <w:rsid w:val="00B935ED"/>
    <w:rsid w:val="00B93C7E"/>
    <w:rsid w:val="00B97537"/>
    <w:rsid w:val="00B9792B"/>
    <w:rsid w:val="00BA3442"/>
    <w:rsid w:val="00BA3789"/>
    <w:rsid w:val="00BA6EFB"/>
    <w:rsid w:val="00BB1EC0"/>
    <w:rsid w:val="00BB2580"/>
    <w:rsid w:val="00BB57E6"/>
    <w:rsid w:val="00BB6379"/>
    <w:rsid w:val="00BC0A30"/>
    <w:rsid w:val="00BC7795"/>
    <w:rsid w:val="00BD0794"/>
    <w:rsid w:val="00BD1D26"/>
    <w:rsid w:val="00BD7E76"/>
    <w:rsid w:val="00BE2D54"/>
    <w:rsid w:val="00BE6450"/>
    <w:rsid w:val="00BE6C0E"/>
    <w:rsid w:val="00BF6A7C"/>
    <w:rsid w:val="00C017C0"/>
    <w:rsid w:val="00C049F1"/>
    <w:rsid w:val="00C04EF9"/>
    <w:rsid w:val="00C07D2F"/>
    <w:rsid w:val="00C07FD3"/>
    <w:rsid w:val="00C1079A"/>
    <w:rsid w:val="00C17DF5"/>
    <w:rsid w:val="00C22E85"/>
    <w:rsid w:val="00C245DC"/>
    <w:rsid w:val="00C31773"/>
    <w:rsid w:val="00C34979"/>
    <w:rsid w:val="00C41E80"/>
    <w:rsid w:val="00C443D2"/>
    <w:rsid w:val="00C46F11"/>
    <w:rsid w:val="00C5230D"/>
    <w:rsid w:val="00C524FC"/>
    <w:rsid w:val="00C5537E"/>
    <w:rsid w:val="00C65552"/>
    <w:rsid w:val="00C72F53"/>
    <w:rsid w:val="00C737AB"/>
    <w:rsid w:val="00C74329"/>
    <w:rsid w:val="00C770BB"/>
    <w:rsid w:val="00C7779D"/>
    <w:rsid w:val="00C86537"/>
    <w:rsid w:val="00C86C33"/>
    <w:rsid w:val="00C877EF"/>
    <w:rsid w:val="00C87FA7"/>
    <w:rsid w:val="00C9008F"/>
    <w:rsid w:val="00C90E0E"/>
    <w:rsid w:val="00C92703"/>
    <w:rsid w:val="00C93C82"/>
    <w:rsid w:val="00C97377"/>
    <w:rsid w:val="00C9785E"/>
    <w:rsid w:val="00CA0FA4"/>
    <w:rsid w:val="00CA61F2"/>
    <w:rsid w:val="00CB00BB"/>
    <w:rsid w:val="00CB016E"/>
    <w:rsid w:val="00CB0341"/>
    <w:rsid w:val="00CB16FE"/>
    <w:rsid w:val="00CB5E37"/>
    <w:rsid w:val="00CB7291"/>
    <w:rsid w:val="00CD709B"/>
    <w:rsid w:val="00CE1072"/>
    <w:rsid w:val="00CE13E8"/>
    <w:rsid w:val="00CE260E"/>
    <w:rsid w:val="00CE3C21"/>
    <w:rsid w:val="00CE3E17"/>
    <w:rsid w:val="00CE3E5C"/>
    <w:rsid w:val="00CE585A"/>
    <w:rsid w:val="00CF25F5"/>
    <w:rsid w:val="00CF3FE0"/>
    <w:rsid w:val="00CF4356"/>
    <w:rsid w:val="00CF4B83"/>
    <w:rsid w:val="00CF5112"/>
    <w:rsid w:val="00D02408"/>
    <w:rsid w:val="00D06119"/>
    <w:rsid w:val="00D11E27"/>
    <w:rsid w:val="00D153BD"/>
    <w:rsid w:val="00D17669"/>
    <w:rsid w:val="00D22273"/>
    <w:rsid w:val="00D2260E"/>
    <w:rsid w:val="00D2279F"/>
    <w:rsid w:val="00D262EA"/>
    <w:rsid w:val="00D30C00"/>
    <w:rsid w:val="00D31496"/>
    <w:rsid w:val="00D31813"/>
    <w:rsid w:val="00D31B28"/>
    <w:rsid w:val="00D3336D"/>
    <w:rsid w:val="00D42EFA"/>
    <w:rsid w:val="00D43488"/>
    <w:rsid w:val="00D44471"/>
    <w:rsid w:val="00D446AC"/>
    <w:rsid w:val="00D44760"/>
    <w:rsid w:val="00D518A4"/>
    <w:rsid w:val="00D53506"/>
    <w:rsid w:val="00D632CB"/>
    <w:rsid w:val="00D65B58"/>
    <w:rsid w:val="00D709BC"/>
    <w:rsid w:val="00D71506"/>
    <w:rsid w:val="00D7402D"/>
    <w:rsid w:val="00D93D8E"/>
    <w:rsid w:val="00DA1028"/>
    <w:rsid w:val="00DA19BA"/>
    <w:rsid w:val="00DA27A1"/>
    <w:rsid w:val="00DA340A"/>
    <w:rsid w:val="00DB00D5"/>
    <w:rsid w:val="00DB025F"/>
    <w:rsid w:val="00DB2575"/>
    <w:rsid w:val="00DB3A5C"/>
    <w:rsid w:val="00DB3F30"/>
    <w:rsid w:val="00DB49CD"/>
    <w:rsid w:val="00DB66B7"/>
    <w:rsid w:val="00DB7BF5"/>
    <w:rsid w:val="00DC3813"/>
    <w:rsid w:val="00DE2C40"/>
    <w:rsid w:val="00DE6638"/>
    <w:rsid w:val="00DF0D63"/>
    <w:rsid w:val="00DF2462"/>
    <w:rsid w:val="00DF3DEC"/>
    <w:rsid w:val="00DF4844"/>
    <w:rsid w:val="00E041EF"/>
    <w:rsid w:val="00E06DEB"/>
    <w:rsid w:val="00E13CB5"/>
    <w:rsid w:val="00E20570"/>
    <w:rsid w:val="00E269E8"/>
    <w:rsid w:val="00E311FA"/>
    <w:rsid w:val="00E43155"/>
    <w:rsid w:val="00E43D36"/>
    <w:rsid w:val="00E44864"/>
    <w:rsid w:val="00E466E3"/>
    <w:rsid w:val="00E50294"/>
    <w:rsid w:val="00E50AAB"/>
    <w:rsid w:val="00E53C00"/>
    <w:rsid w:val="00E569C6"/>
    <w:rsid w:val="00E624E3"/>
    <w:rsid w:val="00E62A35"/>
    <w:rsid w:val="00E63040"/>
    <w:rsid w:val="00E63CB9"/>
    <w:rsid w:val="00E655A5"/>
    <w:rsid w:val="00E66135"/>
    <w:rsid w:val="00E7095E"/>
    <w:rsid w:val="00E70E1C"/>
    <w:rsid w:val="00E73D55"/>
    <w:rsid w:val="00E75BBC"/>
    <w:rsid w:val="00E8107D"/>
    <w:rsid w:val="00E85C08"/>
    <w:rsid w:val="00E870B2"/>
    <w:rsid w:val="00E91BFB"/>
    <w:rsid w:val="00E92C2A"/>
    <w:rsid w:val="00E95C3C"/>
    <w:rsid w:val="00E96DD4"/>
    <w:rsid w:val="00EA0792"/>
    <w:rsid w:val="00EA3698"/>
    <w:rsid w:val="00EA75E1"/>
    <w:rsid w:val="00EB41D3"/>
    <w:rsid w:val="00EB45F9"/>
    <w:rsid w:val="00EB5955"/>
    <w:rsid w:val="00EC29E6"/>
    <w:rsid w:val="00EC44B6"/>
    <w:rsid w:val="00EC4A46"/>
    <w:rsid w:val="00ED1827"/>
    <w:rsid w:val="00ED29CE"/>
    <w:rsid w:val="00ED4E62"/>
    <w:rsid w:val="00ED6CCC"/>
    <w:rsid w:val="00ED7029"/>
    <w:rsid w:val="00EE1FC8"/>
    <w:rsid w:val="00EE4031"/>
    <w:rsid w:val="00EE5F7C"/>
    <w:rsid w:val="00F01592"/>
    <w:rsid w:val="00F0366A"/>
    <w:rsid w:val="00F04852"/>
    <w:rsid w:val="00F048C7"/>
    <w:rsid w:val="00F04CAB"/>
    <w:rsid w:val="00F04FEB"/>
    <w:rsid w:val="00F052E6"/>
    <w:rsid w:val="00F06E11"/>
    <w:rsid w:val="00F113C3"/>
    <w:rsid w:val="00F12691"/>
    <w:rsid w:val="00F13DEB"/>
    <w:rsid w:val="00F2306D"/>
    <w:rsid w:val="00F24F09"/>
    <w:rsid w:val="00F267B8"/>
    <w:rsid w:val="00F3457E"/>
    <w:rsid w:val="00F36F09"/>
    <w:rsid w:val="00F40B9F"/>
    <w:rsid w:val="00F413A9"/>
    <w:rsid w:val="00F45973"/>
    <w:rsid w:val="00F47067"/>
    <w:rsid w:val="00F5238D"/>
    <w:rsid w:val="00F545BB"/>
    <w:rsid w:val="00F55971"/>
    <w:rsid w:val="00F56BD9"/>
    <w:rsid w:val="00F62109"/>
    <w:rsid w:val="00F62A8E"/>
    <w:rsid w:val="00F631AF"/>
    <w:rsid w:val="00F646FD"/>
    <w:rsid w:val="00F6585F"/>
    <w:rsid w:val="00F65CED"/>
    <w:rsid w:val="00F670A4"/>
    <w:rsid w:val="00F701F3"/>
    <w:rsid w:val="00F707E7"/>
    <w:rsid w:val="00F7388F"/>
    <w:rsid w:val="00F74E51"/>
    <w:rsid w:val="00F76A13"/>
    <w:rsid w:val="00F76C59"/>
    <w:rsid w:val="00F77A08"/>
    <w:rsid w:val="00F8501D"/>
    <w:rsid w:val="00F869B7"/>
    <w:rsid w:val="00F87E91"/>
    <w:rsid w:val="00FC3AE8"/>
    <w:rsid w:val="00FD361E"/>
    <w:rsid w:val="00FD681E"/>
    <w:rsid w:val="00FD6EEC"/>
    <w:rsid w:val="00FE0B13"/>
    <w:rsid w:val="00FE1172"/>
    <w:rsid w:val="00FE1B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0FDF"/>
    <w:rPr>
      <w:color w:val="0000FF" w:themeColor="hyperlink"/>
      <w:u w:val="single"/>
    </w:rPr>
  </w:style>
  <w:style w:type="paragraph" w:styleId="Prrafodelista">
    <w:name w:val="List Paragraph"/>
    <w:basedOn w:val="Normal"/>
    <w:uiPriority w:val="99"/>
    <w:qFormat/>
    <w:rsid w:val="005D0FDF"/>
    <w:pPr>
      <w:ind w:left="720"/>
      <w:contextualSpacing/>
    </w:pPr>
  </w:style>
  <w:style w:type="paragraph" w:styleId="Textoindependiente3">
    <w:name w:val="Body Text 3"/>
    <w:basedOn w:val="Normal"/>
    <w:link w:val="Textoindependiente3Car"/>
    <w:uiPriority w:val="99"/>
    <w:unhideWhenUsed/>
    <w:rsid w:val="005D0FDF"/>
    <w:pPr>
      <w:overflowPunct w:val="0"/>
      <w:autoSpaceDE w:val="0"/>
      <w:autoSpaceDN w:val="0"/>
      <w:adjustRightInd w:val="0"/>
      <w:spacing w:after="120"/>
      <w:jc w:val="both"/>
    </w:pPr>
    <w:rPr>
      <w:rFonts w:ascii="Arial Narrow" w:hAnsi="Arial Narrow"/>
      <w:color w:val="000000"/>
      <w:sz w:val="16"/>
      <w:szCs w:val="16"/>
    </w:rPr>
  </w:style>
  <w:style w:type="character" w:customStyle="1" w:styleId="Textoindependiente3Car">
    <w:name w:val="Texto independiente 3 Car"/>
    <w:basedOn w:val="Fuentedeprrafopredeter"/>
    <w:link w:val="Textoindependiente3"/>
    <w:uiPriority w:val="99"/>
    <w:rsid w:val="005D0FDF"/>
    <w:rPr>
      <w:rFonts w:ascii="Arial Narrow" w:eastAsia="Times New Roman" w:hAnsi="Arial Narrow" w:cs="Times New Roman"/>
      <w:color w:val="000000"/>
      <w:sz w:val="16"/>
      <w:szCs w:val="16"/>
      <w:lang w:eastAsia="es-ES"/>
    </w:rPr>
  </w:style>
  <w:style w:type="paragraph" w:styleId="NormalWeb">
    <w:name w:val="Normal (Web)"/>
    <w:basedOn w:val="Normal"/>
    <w:unhideWhenUsed/>
    <w:rsid w:val="0081614D"/>
    <w:pPr>
      <w:spacing w:before="100" w:beforeAutospacing="1" w:after="100" w:afterAutospacing="1"/>
      <w:jc w:val="both"/>
    </w:pPr>
    <w:rPr>
      <w:rFonts w:ascii="Arial" w:hAnsi="Arial" w:cs="Arial"/>
      <w:color w:val="000000"/>
      <w:sz w:val="20"/>
      <w:szCs w:val="20"/>
    </w:rPr>
  </w:style>
  <w:style w:type="table" w:styleId="Tablaconcuadrcula">
    <w:name w:val="Table Grid"/>
    <w:basedOn w:val="Tablanormal"/>
    <w:uiPriority w:val="59"/>
    <w:rsid w:val="00873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99"/>
    <w:rsid w:val="00570775"/>
    <w:pPr>
      <w:ind w:left="720"/>
    </w:pPr>
    <w:rPr>
      <w:rFonts w:eastAsia="Calibri"/>
      <w:lang w:val="es-PE"/>
    </w:rPr>
  </w:style>
  <w:style w:type="character" w:customStyle="1" w:styleId="ft">
    <w:name w:val="ft"/>
    <w:basedOn w:val="Fuentedeprrafopredeter"/>
    <w:rsid w:val="00375A3E"/>
  </w:style>
  <w:style w:type="paragraph" w:styleId="Textodeglobo">
    <w:name w:val="Balloon Text"/>
    <w:basedOn w:val="Normal"/>
    <w:link w:val="TextodegloboCar"/>
    <w:uiPriority w:val="99"/>
    <w:semiHidden/>
    <w:unhideWhenUsed/>
    <w:rsid w:val="00D22273"/>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27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0FDF"/>
    <w:rPr>
      <w:color w:val="0000FF" w:themeColor="hyperlink"/>
      <w:u w:val="single"/>
    </w:rPr>
  </w:style>
  <w:style w:type="paragraph" w:styleId="Prrafodelista">
    <w:name w:val="List Paragraph"/>
    <w:basedOn w:val="Normal"/>
    <w:uiPriority w:val="99"/>
    <w:qFormat/>
    <w:rsid w:val="005D0FDF"/>
    <w:pPr>
      <w:ind w:left="720"/>
      <w:contextualSpacing/>
    </w:pPr>
  </w:style>
  <w:style w:type="paragraph" w:styleId="Textoindependiente3">
    <w:name w:val="Body Text 3"/>
    <w:basedOn w:val="Normal"/>
    <w:link w:val="Textoindependiente3Car"/>
    <w:uiPriority w:val="99"/>
    <w:unhideWhenUsed/>
    <w:rsid w:val="005D0FDF"/>
    <w:pPr>
      <w:overflowPunct w:val="0"/>
      <w:autoSpaceDE w:val="0"/>
      <w:autoSpaceDN w:val="0"/>
      <w:adjustRightInd w:val="0"/>
      <w:spacing w:after="120"/>
      <w:jc w:val="both"/>
    </w:pPr>
    <w:rPr>
      <w:rFonts w:ascii="Arial Narrow" w:hAnsi="Arial Narrow"/>
      <w:color w:val="000000"/>
      <w:sz w:val="16"/>
      <w:szCs w:val="16"/>
    </w:rPr>
  </w:style>
  <w:style w:type="character" w:customStyle="1" w:styleId="Textoindependiente3Car">
    <w:name w:val="Texto independiente 3 Car"/>
    <w:basedOn w:val="Fuentedeprrafopredeter"/>
    <w:link w:val="Textoindependiente3"/>
    <w:uiPriority w:val="99"/>
    <w:rsid w:val="005D0FDF"/>
    <w:rPr>
      <w:rFonts w:ascii="Arial Narrow" w:eastAsia="Times New Roman" w:hAnsi="Arial Narrow" w:cs="Times New Roman"/>
      <w:color w:val="000000"/>
      <w:sz w:val="16"/>
      <w:szCs w:val="16"/>
      <w:lang w:eastAsia="es-ES"/>
    </w:rPr>
  </w:style>
  <w:style w:type="paragraph" w:styleId="NormalWeb">
    <w:name w:val="Normal (Web)"/>
    <w:basedOn w:val="Normal"/>
    <w:unhideWhenUsed/>
    <w:rsid w:val="0081614D"/>
    <w:pPr>
      <w:spacing w:before="100" w:beforeAutospacing="1" w:after="100" w:afterAutospacing="1"/>
      <w:jc w:val="both"/>
    </w:pPr>
    <w:rPr>
      <w:rFonts w:ascii="Arial" w:hAnsi="Arial" w:cs="Arial"/>
      <w:color w:val="000000"/>
      <w:sz w:val="20"/>
      <w:szCs w:val="20"/>
    </w:rPr>
  </w:style>
  <w:style w:type="table" w:styleId="Tablaconcuadrcula">
    <w:name w:val="Table Grid"/>
    <w:basedOn w:val="Tablanormal"/>
    <w:uiPriority w:val="59"/>
    <w:rsid w:val="00873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99"/>
    <w:rsid w:val="00570775"/>
    <w:pPr>
      <w:ind w:left="720"/>
    </w:pPr>
    <w:rPr>
      <w:rFonts w:eastAsia="Calibri"/>
      <w:lang w:val="es-PE"/>
    </w:rPr>
  </w:style>
  <w:style w:type="character" w:customStyle="1" w:styleId="ft">
    <w:name w:val="ft"/>
    <w:basedOn w:val="Fuentedeprrafopredeter"/>
    <w:rsid w:val="00375A3E"/>
  </w:style>
  <w:style w:type="paragraph" w:styleId="Textodeglobo">
    <w:name w:val="Balloon Text"/>
    <w:basedOn w:val="Normal"/>
    <w:link w:val="TextodegloboCar"/>
    <w:uiPriority w:val="99"/>
    <w:semiHidden/>
    <w:unhideWhenUsed/>
    <w:rsid w:val="00D22273"/>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27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659502981">
      <w:bodyDiv w:val="1"/>
      <w:marLeft w:val="0"/>
      <w:marRight w:val="0"/>
      <w:marTop w:val="0"/>
      <w:marBottom w:val="0"/>
      <w:divBdr>
        <w:top w:val="none" w:sz="0" w:space="0" w:color="auto"/>
        <w:left w:val="none" w:sz="0" w:space="0" w:color="auto"/>
        <w:bottom w:val="none" w:sz="0" w:space="0" w:color="auto"/>
        <w:right w:val="none" w:sz="0" w:space="0" w:color="auto"/>
      </w:divBdr>
    </w:div>
    <w:div w:id="7519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AC2AD-E397-4E5B-912D-B376EEA8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993</Words>
  <Characters>5466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sbn</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jotiniano</dc:creator>
  <cp:keywords/>
  <dc:description/>
  <cp:lastModifiedBy>agutierrez</cp:lastModifiedBy>
  <cp:revision>36</cp:revision>
  <cp:lastPrinted>2014-01-06T15:00:00Z</cp:lastPrinted>
  <dcterms:created xsi:type="dcterms:W3CDTF">2014-01-06T14:28:00Z</dcterms:created>
  <dcterms:modified xsi:type="dcterms:W3CDTF">2014-01-07T16:57:00Z</dcterms:modified>
</cp:coreProperties>
</file>