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F9" w:rsidRDefault="00B352F9" w:rsidP="00580C50">
      <w:pPr>
        <w:spacing w:line="276" w:lineRule="auto"/>
        <w:jc w:val="center"/>
        <w:rPr>
          <w:rFonts w:ascii="Arial" w:hAnsi="Arial" w:cs="Arial"/>
          <w:b/>
          <w:sz w:val="28"/>
          <w:szCs w:val="28"/>
        </w:rPr>
      </w:pPr>
      <w:r>
        <w:rPr>
          <w:rFonts w:ascii="Arial" w:hAnsi="Arial" w:cs="Arial"/>
          <w:b/>
          <w:sz w:val="28"/>
          <w:szCs w:val="28"/>
        </w:rPr>
        <w:t>REPORTE DE NORMAS LEGALES</w:t>
      </w:r>
    </w:p>
    <w:p w:rsidR="00B352F9" w:rsidRPr="00D51D02" w:rsidRDefault="00B352F9" w:rsidP="00EA3E27">
      <w:pPr>
        <w:spacing w:line="276" w:lineRule="auto"/>
        <w:rPr>
          <w:rFonts w:ascii="Arial" w:hAnsi="Arial" w:cs="Arial"/>
          <w:sz w:val="22"/>
          <w:szCs w:val="20"/>
        </w:rPr>
      </w:pPr>
    </w:p>
    <w:tbl>
      <w:tblPr>
        <w:tblW w:w="0" w:type="auto"/>
        <w:tblInd w:w="2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2"/>
      </w:tblGrid>
      <w:tr w:rsidR="00B352F9" w:rsidRPr="00D51D02" w:rsidTr="00086C61">
        <w:tc>
          <w:tcPr>
            <w:tcW w:w="9242" w:type="dxa"/>
            <w:shd w:val="clear" w:color="auto" w:fill="C4BC96" w:themeFill="background2" w:themeFillShade="BF"/>
            <w:vAlign w:val="center"/>
          </w:tcPr>
          <w:p w:rsidR="00B352F9" w:rsidRPr="00086C61" w:rsidRDefault="00424CFD" w:rsidP="00494A00">
            <w:pPr>
              <w:tabs>
                <w:tab w:val="center" w:pos="4513"/>
                <w:tab w:val="left" w:pos="6331"/>
              </w:tabs>
              <w:spacing w:line="276" w:lineRule="auto"/>
              <w:jc w:val="center"/>
              <w:rPr>
                <w:rFonts w:ascii="Arial" w:hAnsi="Arial" w:cs="Arial"/>
                <w:b/>
                <w:lang w:val="es-PE" w:eastAsia="es-PE"/>
              </w:rPr>
            </w:pPr>
            <w:r>
              <w:rPr>
                <w:rFonts w:ascii="Arial" w:hAnsi="Arial" w:cs="Arial"/>
                <w:b/>
                <w:lang w:val="es-PE" w:eastAsia="es-PE"/>
              </w:rPr>
              <w:t xml:space="preserve">Fecha: </w:t>
            </w:r>
            <w:r w:rsidR="00A24923">
              <w:rPr>
                <w:rFonts w:ascii="Arial" w:hAnsi="Arial" w:cs="Arial"/>
                <w:b/>
                <w:lang w:val="es-PE" w:eastAsia="es-PE"/>
              </w:rPr>
              <w:t>04</w:t>
            </w:r>
            <w:r w:rsidR="00882BA7">
              <w:rPr>
                <w:rFonts w:ascii="Arial" w:hAnsi="Arial" w:cs="Arial"/>
                <w:b/>
                <w:lang w:val="es-PE" w:eastAsia="es-PE"/>
              </w:rPr>
              <w:t xml:space="preserve"> de marzo</w:t>
            </w:r>
            <w:r w:rsidR="00B352F9" w:rsidRPr="00086C61">
              <w:rPr>
                <w:rFonts w:ascii="Arial" w:hAnsi="Arial" w:cs="Arial"/>
                <w:b/>
                <w:lang w:val="es-PE" w:eastAsia="es-PE"/>
              </w:rPr>
              <w:t xml:space="preserve"> de 201</w:t>
            </w:r>
            <w:r w:rsidR="002D49C8" w:rsidRPr="00086C61">
              <w:rPr>
                <w:rFonts w:ascii="Arial" w:hAnsi="Arial" w:cs="Arial"/>
                <w:b/>
                <w:lang w:val="es-PE" w:eastAsia="es-PE"/>
              </w:rPr>
              <w:t>4</w:t>
            </w:r>
          </w:p>
        </w:tc>
      </w:tr>
    </w:tbl>
    <w:p w:rsidR="00BD71FD" w:rsidRDefault="00B352F9" w:rsidP="00E87D80">
      <w:pPr>
        <w:spacing w:line="276" w:lineRule="auto"/>
        <w:rPr>
          <w:rFonts w:ascii="Arial" w:hAnsi="Arial" w:cs="Arial"/>
          <w:b/>
          <w:caps/>
          <w:sz w:val="20"/>
          <w:szCs w:val="20"/>
          <w:lang w:val="es-PE"/>
        </w:rPr>
      </w:pPr>
      <w:r>
        <w:rPr>
          <w:rFonts w:ascii="Arial" w:hAnsi="Arial" w:cs="Arial"/>
          <w:b/>
          <w:caps/>
          <w:sz w:val="20"/>
          <w:szCs w:val="20"/>
          <w:lang w:val="es-PE"/>
        </w:rPr>
        <w:t xml:space="preserve">                         </w:t>
      </w:r>
    </w:p>
    <w:p w:rsidR="00586260" w:rsidRDefault="00586260" w:rsidP="00E87D80">
      <w:pPr>
        <w:spacing w:line="276" w:lineRule="auto"/>
        <w:rPr>
          <w:rFonts w:ascii="Arial" w:hAnsi="Arial" w:cs="Arial"/>
          <w:b/>
          <w:sz w:val="22"/>
          <w:szCs w:val="22"/>
          <w:lang w:val="es-PE"/>
        </w:rPr>
      </w:pPr>
    </w:p>
    <w:p w:rsidR="00B352F9" w:rsidRDefault="003232DD" w:rsidP="00EA3E27">
      <w:pPr>
        <w:spacing w:line="276" w:lineRule="auto"/>
        <w:jc w:val="center"/>
        <w:rPr>
          <w:rFonts w:ascii="Arial" w:hAnsi="Arial" w:cs="Arial"/>
          <w:b/>
          <w:sz w:val="22"/>
          <w:szCs w:val="22"/>
          <w:lang w:val="es-PE"/>
        </w:rPr>
      </w:pPr>
      <w:r>
        <w:rPr>
          <w:rFonts w:ascii="Arial" w:hAnsi="Arial" w:cs="Arial"/>
          <w:b/>
          <w:sz w:val="22"/>
          <w:szCs w:val="22"/>
          <w:lang w:val="es-PE"/>
        </w:rPr>
        <w:t xml:space="preserve">DISPOSICIONES EN </w:t>
      </w:r>
      <w:r w:rsidR="00482674">
        <w:rPr>
          <w:rFonts w:ascii="Arial" w:hAnsi="Arial" w:cs="Arial"/>
          <w:b/>
          <w:sz w:val="22"/>
          <w:szCs w:val="22"/>
          <w:lang w:val="es-PE"/>
        </w:rPr>
        <w:t>EL PODER EJECUTIVO</w:t>
      </w:r>
    </w:p>
    <w:p w:rsidR="00485429" w:rsidRPr="00485429" w:rsidRDefault="00485429" w:rsidP="00EA3E27">
      <w:pPr>
        <w:spacing w:line="276" w:lineRule="auto"/>
        <w:jc w:val="center"/>
        <w:rPr>
          <w:rFonts w:ascii="Arial" w:hAnsi="Arial" w:cs="Arial"/>
          <w:b/>
          <w:sz w:val="22"/>
          <w:szCs w:val="22"/>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261"/>
        <w:gridCol w:w="2268"/>
        <w:gridCol w:w="6313"/>
      </w:tblGrid>
      <w:tr w:rsidR="00B352F9" w:rsidTr="00EC6013">
        <w:tc>
          <w:tcPr>
            <w:tcW w:w="2376" w:type="dxa"/>
            <w:shd w:val="clear" w:color="auto" w:fill="C4BC96" w:themeFill="background2" w:themeFillShade="BF"/>
            <w:vAlign w:val="center"/>
          </w:tcPr>
          <w:p w:rsidR="00B352F9" w:rsidRPr="00485429" w:rsidRDefault="00B352F9" w:rsidP="00EA3E27">
            <w:pPr>
              <w:spacing w:line="276" w:lineRule="auto"/>
              <w:jc w:val="center"/>
              <w:rPr>
                <w:rFonts w:ascii="Arial" w:hAnsi="Arial" w:cs="Arial"/>
                <w:b/>
                <w:sz w:val="20"/>
                <w:szCs w:val="20"/>
              </w:rPr>
            </w:pPr>
            <w:r w:rsidRPr="00485429">
              <w:rPr>
                <w:rFonts w:ascii="Arial" w:hAnsi="Arial" w:cs="Arial"/>
                <w:b/>
                <w:sz w:val="20"/>
                <w:szCs w:val="20"/>
              </w:rPr>
              <w:t>NORMA</w:t>
            </w:r>
          </w:p>
        </w:tc>
        <w:tc>
          <w:tcPr>
            <w:tcW w:w="3261" w:type="dxa"/>
            <w:shd w:val="clear" w:color="auto" w:fill="C4BC96" w:themeFill="background2" w:themeFillShade="BF"/>
            <w:vAlign w:val="center"/>
          </w:tcPr>
          <w:p w:rsidR="00E17D9E" w:rsidRDefault="00E17D9E" w:rsidP="00EA3E27">
            <w:pPr>
              <w:spacing w:line="276" w:lineRule="auto"/>
              <w:jc w:val="center"/>
              <w:rPr>
                <w:rFonts w:ascii="Arial" w:hAnsi="Arial" w:cs="Arial"/>
                <w:b/>
                <w:sz w:val="20"/>
                <w:szCs w:val="20"/>
              </w:rPr>
            </w:pPr>
          </w:p>
          <w:p w:rsidR="00B352F9" w:rsidRDefault="00B352F9" w:rsidP="00EA3E27">
            <w:pPr>
              <w:spacing w:line="276" w:lineRule="auto"/>
              <w:jc w:val="center"/>
              <w:rPr>
                <w:rFonts w:ascii="Arial" w:hAnsi="Arial" w:cs="Arial"/>
                <w:b/>
                <w:sz w:val="20"/>
                <w:szCs w:val="20"/>
              </w:rPr>
            </w:pPr>
            <w:r w:rsidRPr="00485429">
              <w:rPr>
                <w:rFonts w:ascii="Arial" w:hAnsi="Arial" w:cs="Arial"/>
                <w:b/>
                <w:sz w:val="20"/>
                <w:szCs w:val="20"/>
              </w:rPr>
              <w:t>TÍTULO</w:t>
            </w:r>
          </w:p>
          <w:p w:rsidR="00E17D9E" w:rsidRPr="00485429" w:rsidRDefault="00E17D9E" w:rsidP="00EA3E27">
            <w:pPr>
              <w:spacing w:line="276" w:lineRule="auto"/>
              <w:jc w:val="center"/>
              <w:rPr>
                <w:rFonts w:ascii="Arial" w:hAnsi="Arial" w:cs="Arial"/>
                <w:b/>
                <w:sz w:val="20"/>
                <w:szCs w:val="20"/>
              </w:rPr>
            </w:pPr>
          </w:p>
        </w:tc>
        <w:tc>
          <w:tcPr>
            <w:tcW w:w="2268" w:type="dxa"/>
            <w:shd w:val="clear" w:color="auto" w:fill="C4BC96" w:themeFill="background2" w:themeFillShade="BF"/>
            <w:vAlign w:val="center"/>
          </w:tcPr>
          <w:p w:rsidR="00B352F9" w:rsidRPr="00485429" w:rsidRDefault="00B352F9" w:rsidP="00EA3E27">
            <w:pPr>
              <w:spacing w:line="276" w:lineRule="auto"/>
              <w:jc w:val="center"/>
              <w:rPr>
                <w:rFonts w:ascii="Arial" w:hAnsi="Arial" w:cs="Arial"/>
                <w:b/>
                <w:sz w:val="20"/>
                <w:szCs w:val="20"/>
              </w:rPr>
            </w:pPr>
            <w:r w:rsidRPr="00485429">
              <w:rPr>
                <w:rFonts w:ascii="Arial" w:hAnsi="Arial" w:cs="Arial"/>
                <w:b/>
                <w:sz w:val="20"/>
                <w:szCs w:val="20"/>
              </w:rPr>
              <w:t>ORGANISMO EMISOR</w:t>
            </w:r>
          </w:p>
        </w:tc>
        <w:tc>
          <w:tcPr>
            <w:tcW w:w="6313" w:type="dxa"/>
            <w:shd w:val="clear" w:color="auto" w:fill="C4BC96" w:themeFill="background2" w:themeFillShade="BF"/>
            <w:vAlign w:val="center"/>
          </w:tcPr>
          <w:p w:rsidR="00B352F9" w:rsidRPr="00485429" w:rsidRDefault="00B352F9" w:rsidP="00EA3E27">
            <w:pPr>
              <w:spacing w:line="276" w:lineRule="auto"/>
              <w:jc w:val="center"/>
              <w:rPr>
                <w:rFonts w:ascii="Arial" w:hAnsi="Arial" w:cs="Arial"/>
                <w:b/>
                <w:sz w:val="20"/>
                <w:szCs w:val="20"/>
              </w:rPr>
            </w:pPr>
            <w:r w:rsidRPr="00485429">
              <w:rPr>
                <w:rFonts w:ascii="Arial" w:hAnsi="Arial" w:cs="Arial"/>
                <w:b/>
                <w:sz w:val="20"/>
                <w:szCs w:val="20"/>
              </w:rPr>
              <w:t>RESUMEN</w:t>
            </w:r>
          </w:p>
        </w:tc>
      </w:tr>
      <w:tr w:rsidR="00B352F9" w:rsidTr="00EC6013">
        <w:trPr>
          <w:trHeight w:val="703"/>
        </w:trPr>
        <w:tc>
          <w:tcPr>
            <w:tcW w:w="2376" w:type="dxa"/>
            <w:vAlign w:val="center"/>
          </w:tcPr>
          <w:p w:rsidR="00B352F9" w:rsidRPr="009F1352" w:rsidRDefault="00B352F9" w:rsidP="00920F22">
            <w:pPr>
              <w:spacing w:line="276" w:lineRule="auto"/>
              <w:jc w:val="center"/>
              <w:rPr>
                <w:rFonts w:ascii="Arial" w:hAnsi="Arial" w:cs="Arial"/>
                <w:sz w:val="21"/>
                <w:szCs w:val="21"/>
              </w:rPr>
            </w:pPr>
          </w:p>
          <w:p w:rsidR="001F3616" w:rsidRPr="009F1352" w:rsidRDefault="001F3616" w:rsidP="001F3616">
            <w:pPr>
              <w:spacing w:line="276" w:lineRule="auto"/>
              <w:jc w:val="center"/>
              <w:rPr>
                <w:rFonts w:ascii="Arial" w:hAnsi="Arial" w:cs="Arial"/>
                <w:sz w:val="21"/>
                <w:szCs w:val="21"/>
              </w:rPr>
            </w:pPr>
            <w:r>
              <w:rPr>
                <w:rFonts w:ascii="Arial" w:hAnsi="Arial" w:cs="Arial"/>
                <w:sz w:val="21"/>
                <w:szCs w:val="21"/>
                <w:lang w:val="es-PE" w:eastAsia="en-US"/>
              </w:rPr>
              <w:t>Resolución</w:t>
            </w:r>
            <w:r w:rsidR="004F7AEF">
              <w:rPr>
                <w:rFonts w:ascii="Arial" w:hAnsi="Arial" w:cs="Arial"/>
                <w:sz w:val="21"/>
                <w:szCs w:val="21"/>
                <w:lang w:val="es-PE" w:eastAsia="en-US"/>
              </w:rPr>
              <w:t xml:space="preserve"> </w:t>
            </w:r>
            <w:r w:rsidR="00637C75">
              <w:rPr>
                <w:rFonts w:ascii="Arial" w:hAnsi="Arial" w:cs="Arial"/>
                <w:sz w:val="21"/>
                <w:szCs w:val="21"/>
                <w:lang w:val="es-PE" w:eastAsia="en-US"/>
              </w:rPr>
              <w:t>Ministerial</w:t>
            </w:r>
            <w:r w:rsidR="00D1481B">
              <w:rPr>
                <w:rFonts w:ascii="Arial" w:hAnsi="Arial" w:cs="Arial"/>
                <w:sz w:val="21"/>
                <w:szCs w:val="21"/>
                <w:lang w:val="es-PE" w:eastAsia="en-US"/>
              </w:rPr>
              <w:t xml:space="preserve"> </w:t>
            </w:r>
            <w:r>
              <w:rPr>
                <w:rFonts w:ascii="Arial" w:hAnsi="Arial" w:cs="Arial"/>
                <w:sz w:val="21"/>
                <w:szCs w:val="21"/>
                <w:lang w:val="es-PE" w:eastAsia="en-US"/>
              </w:rPr>
              <w:t xml:space="preserve">Nº </w:t>
            </w:r>
            <w:r w:rsidR="00637C75">
              <w:rPr>
                <w:rFonts w:ascii="Arial" w:hAnsi="Arial" w:cs="Arial"/>
                <w:sz w:val="21"/>
                <w:szCs w:val="21"/>
                <w:lang w:val="es-PE" w:eastAsia="en-US"/>
              </w:rPr>
              <w:t>0</w:t>
            </w:r>
            <w:r w:rsidR="00BC269C">
              <w:rPr>
                <w:rFonts w:ascii="Arial" w:hAnsi="Arial" w:cs="Arial"/>
                <w:sz w:val="21"/>
                <w:szCs w:val="21"/>
                <w:lang w:val="es-PE" w:eastAsia="en-US"/>
              </w:rPr>
              <w:t>50</w:t>
            </w:r>
            <w:r>
              <w:rPr>
                <w:rFonts w:ascii="Arial" w:hAnsi="Arial" w:cs="Arial"/>
                <w:sz w:val="21"/>
                <w:szCs w:val="21"/>
                <w:lang w:val="es-PE" w:eastAsia="en-US"/>
              </w:rPr>
              <w:t>-</w:t>
            </w:r>
            <w:r w:rsidRPr="00382BF7">
              <w:rPr>
                <w:rFonts w:ascii="Arial" w:hAnsi="Arial" w:cs="Arial"/>
                <w:sz w:val="21"/>
                <w:szCs w:val="21"/>
                <w:lang w:val="es-PE" w:eastAsia="en-US"/>
              </w:rPr>
              <w:t>2014</w:t>
            </w:r>
            <w:r w:rsidR="004F7AEF">
              <w:rPr>
                <w:rFonts w:ascii="Arial" w:hAnsi="Arial" w:cs="Arial"/>
                <w:sz w:val="21"/>
                <w:szCs w:val="21"/>
                <w:lang w:val="es-PE" w:eastAsia="en-US"/>
              </w:rPr>
              <w:t>-</w:t>
            </w:r>
            <w:r w:rsidR="00BC269C">
              <w:rPr>
                <w:rFonts w:ascii="Arial" w:hAnsi="Arial" w:cs="Arial"/>
                <w:sz w:val="21"/>
                <w:szCs w:val="21"/>
                <w:lang w:val="es-PE" w:eastAsia="en-US"/>
              </w:rPr>
              <w:t>PCM</w:t>
            </w:r>
            <w:r w:rsidRPr="00382BF7">
              <w:rPr>
                <w:rFonts w:ascii="Arial" w:hAnsi="Arial" w:cs="Arial"/>
                <w:sz w:val="21"/>
                <w:szCs w:val="21"/>
              </w:rPr>
              <w:t xml:space="preserve"> </w:t>
            </w:r>
            <w:r w:rsidRPr="002D3E2F">
              <w:rPr>
                <w:rFonts w:ascii="Arial" w:hAnsi="Arial" w:cs="Arial"/>
                <w:sz w:val="21"/>
                <w:szCs w:val="21"/>
              </w:rPr>
              <w:t>(</w:t>
            </w:r>
            <w:r w:rsidR="00475637" w:rsidRPr="002D3E2F">
              <w:rPr>
                <w:rFonts w:ascii="Arial" w:hAnsi="Arial" w:cs="Arial"/>
                <w:sz w:val="21"/>
                <w:szCs w:val="21"/>
              </w:rPr>
              <w:t>03/03</w:t>
            </w:r>
            <w:r w:rsidRPr="002D3E2F">
              <w:rPr>
                <w:rFonts w:ascii="Arial" w:hAnsi="Arial" w:cs="Arial"/>
                <w:sz w:val="21"/>
                <w:szCs w:val="21"/>
              </w:rPr>
              <w:t>/2014)</w:t>
            </w:r>
          </w:p>
          <w:p w:rsidR="00B352F9" w:rsidRPr="00B42549" w:rsidRDefault="00B352F9" w:rsidP="00B42549">
            <w:pPr>
              <w:spacing w:line="276" w:lineRule="auto"/>
              <w:rPr>
                <w:rFonts w:ascii="Arial" w:hAnsi="Arial" w:cs="Arial"/>
                <w:b/>
                <w:sz w:val="21"/>
                <w:szCs w:val="21"/>
              </w:rPr>
            </w:pPr>
            <w:r w:rsidRPr="009F1352">
              <w:rPr>
                <w:rFonts w:ascii="Arial" w:hAnsi="Arial" w:cs="Arial"/>
                <w:b/>
                <w:sz w:val="21"/>
                <w:szCs w:val="21"/>
              </w:rPr>
              <w:t xml:space="preserve"> </w:t>
            </w:r>
          </w:p>
        </w:tc>
        <w:tc>
          <w:tcPr>
            <w:tcW w:w="3261" w:type="dxa"/>
            <w:vAlign w:val="center"/>
          </w:tcPr>
          <w:p w:rsidR="009365C7" w:rsidRPr="00920F22" w:rsidRDefault="009F5CDC" w:rsidP="00BC269C">
            <w:pPr>
              <w:autoSpaceDE w:val="0"/>
              <w:autoSpaceDN w:val="0"/>
              <w:adjustRightInd w:val="0"/>
              <w:jc w:val="center"/>
              <w:rPr>
                <w:rFonts w:ascii="Arial" w:hAnsi="Arial" w:cs="Arial"/>
                <w:sz w:val="21"/>
                <w:szCs w:val="21"/>
                <w:lang w:val="es-PE" w:eastAsia="en-US"/>
              </w:rPr>
            </w:pPr>
            <w:r>
              <w:rPr>
                <w:rFonts w:ascii="Arial" w:hAnsi="Arial" w:cs="Arial"/>
                <w:sz w:val="21"/>
                <w:szCs w:val="21"/>
                <w:lang w:val="es-PE" w:eastAsia="en-US"/>
              </w:rPr>
              <w:t>Designan</w:t>
            </w:r>
            <w:r w:rsidR="00637C75">
              <w:rPr>
                <w:rFonts w:ascii="Arial" w:hAnsi="Arial" w:cs="Arial"/>
                <w:sz w:val="21"/>
                <w:szCs w:val="21"/>
                <w:lang w:val="es-PE" w:eastAsia="en-US"/>
              </w:rPr>
              <w:t xml:space="preserve"> </w:t>
            </w:r>
            <w:r w:rsidR="00BC269C">
              <w:rPr>
                <w:rFonts w:ascii="Arial" w:hAnsi="Arial" w:cs="Arial"/>
                <w:sz w:val="21"/>
                <w:szCs w:val="21"/>
                <w:lang w:val="es-PE" w:eastAsia="en-US"/>
              </w:rPr>
              <w:t>Jefe del Gabinete de Asesores de</w:t>
            </w:r>
            <w:r w:rsidR="002D3E2F">
              <w:rPr>
                <w:rFonts w:ascii="Arial" w:hAnsi="Arial" w:cs="Arial"/>
                <w:sz w:val="21"/>
                <w:szCs w:val="21"/>
                <w:lang w:val="es-PE" w:eastAsia="en-US"/>
              </w:rPr>
              <w:t xml:space="preserve"> la</w:t>
            </w:r>
            <w:r w:rsidR="00BC269C">
              <w:rPr>
                <w:rFonts w:ascii="Arial" w:hAnsi="Arial" w:cs="Arial"/>
                <w:sz w:val="21"/>
                <w:szCs w:val="21"/>
                <w:lang w:val="es-PE" w:eastAsia="en-US"/>
              </w:rPr>
              <w:t xml:space="preserve"> Presidencia </w:t>
            </w:r>
            <w:r w:rsidR="00BC269C">
              <w:rPr>
                <w:rFonts w:ascii="Arial" w:hAnsi="Arial" w:cs="Arial"/>
                <w:sz w:val="21"/>
                <w:szCs w:val="21"/>
              </w:rPr>
              <w:t>del Consejo de Ministros</w:t>
            </w:r>
            <w:r w:rsidR="00637C75">
              <w:rPr>
                <w:rFonts w:ascii="Arial" w:hAnsi="Arial" w:cs="Arial"/>
                <w:sz w:val="21"/>
                <w:szCs w:val="21"/>
                <w:lang w:val="es-PE" w:eastAsia="en-US"/>
              </w:rPr>
              <w:t xml:space="preserve"> </w:t>
            </w:r>
          </w:p>
        </w:tc>
        <w:tc>
          <w:tcPr>
            <w:tcW w:w="2268" w:type="dxa"/>
            <w:vAlign w:val="center"/>
          </w:tcPr>
          <w:p w:rsidR="00B352F9" w:rsidRPr="009F1352" w:rsidRDefault="00BC269C" w:rsidP="00AB5265">
            <w:pPr>
              <w:spacing w:line="276" w:lineRule="auto"/>
              <w:jc w:val="center"/>
              <w:rPr>
                <w:rFonts w:ascii="Arial" w:hAnsi="Arial" w:cs="Arial"/>
                <w:sz w:val="21"/>
                <w:szCs w:val="21"/>
              </w:rPr>
            </w:pPr>
            <w:r>
              <w:rPr>
                <w:rFonts w:ascii="Arial" w:hAnsi="Arial" w:cs="Arial"/>
                <w:sz w:val="21"/>
                <w:szCs w:val="21"/>
              </w:rPr>
              <w:t>Presidencia del Consejo de Ministros</w:t>
            </w:r>
          </w:p>
        </w:tc>
        <w:tc>
          <w:tcPr>
            <w:tcW w:w="6313" w:type="dxa"/>
            <w:vAlign w:val="center"/>
          </w:tcPr>
          <w:p w:rsidR="001649FB" w:rsidRPr="00FD692B" w:rsidRDefault="00FD692B" w:rsidP="002D3E2F">
            <w:pPr>
              <w:pStyle w:val="Prrafodelista"/>
              <w:numPr>
                <w:ilvl w:val="0"/>
                <w:numId w:val="19"/>
              </w:numPr>
              <w:autoSpaceDE w:val="0"/>
              <w:autoSpaceDN w:val="0"/>
              <w:adjustRightInd w:val="0"/>
              <w:jc w:val="both"/>
              <w:rPr>
                <w:rFonts w:ascii="Arial" w:hAnsi="Arial" w:cs="Arial"/>
                <w:sz w:val="21"/>
                <w:szCs w:val="21"/>
              </w:rPr>
            </w:pPr>
            <w:r>
              <w:rPr>
                <w:rFonts w:ascii="Arial" w:hAnsi="Arial" w:cs="Arial"/>
                <w:sz w:val="21"/>
                <w:szCs w:val="21"/>
              </w:rPr>
              <w:t>Se designa</w:t>
            </w:r>
            <w:r w:rsidRPr="00FD692B">
              <w:rPr>
                <w:rFonts w:ascii="Arial" w:hAnsi="Arial" w:cs="Arial"/>
                <w:sz w:val="21"/>
                <w:szCs w:val="21"/>
              </w:rPr>
              <w:t xml:space="preserve"> </w:t>
            </w:r>
            <w:r w:rsidR="002D3E2F">
              <w:rPr>
                <w:rFonts w:ascii="Arial" w:hAnsi="Arial" w:cs="Arial"/>
                <w:sz w:val="21"/>
                <w:szCs w:val="21"/>
              </w:rPr>
              <w:t xml:space="preserve">al señor Jesús </w:t>
            </w:r>
            <w:proofErr w:type="spellStart"/>
            <w:r w:rsidR="002D3E2F">
              <w:rPr>
                <w:rFonts w:ascii="Arial" w:hAnsi="Arial" w:cs="Arial"/>
                <w:sz w:val="21"/>
                <w:szCs w:val="21"/>
              </w:rPr>
              <w:t>Roddy</w:t>
            </w:r>
            <w:proofErr w:type="spellEnd"/>
            <w:r w:rsidR="002D3E2F">
              <w:rPr>
                <w:rFonts w:ascii="Arial" w:hAnsi="Arial" w:cs="Arial"/>
                <w:sz w:val="21"/>
                <w:szCs w:val="21"/>
              </w:rPr>
              <w:t xml:space="preserve"> </w:t>
            </w:r>
            <w:proofErr w:type="spellStart"/>
            <w:r w:rsidR="002D3E2F">
              <w:rPr>
                <w:rFonts w:ascii="Arial" w:hAnsi="Arial" w:cs="Arial"/>
                <w:sz w:val="21"/>
                <w:szCs w:val="21"/>
              </w:rPr>
              <w:t>Vidalón</w:t>
            </w:r>
            <w:proofErr w:type="spellEnd"/>
            <w:r w:rsidR="002D3E2F">
              <w:rPr>
                <w:rFonts w:ascii="Arial" w:hAnsi="Arial" w:cs="Arial"/>
                <w:sz w:val="21"/>
                <w:szCs w:val="21"/>
              </w:rPr>
              <w:t xml:space="preserve"> Orellana en el cargo de Jefe del Gabinete de </w:t>
            </w:r>
            <w:r w:rsidR="002D3E2F">
              <w:rPr>
                <w:rFonts w:ascii="Arial" w:hAnsi="Arial" w:cs="Arial"/>
                <w:sz w:val="21"/>
                <w:szCs w:val="21"/>
                <w:lang w:val="es-PE" w:eastAsia="en-US"/>
              </w:rPr>
              <w:t xml:space="preserve">Asesores de la Presidencia </w:t>
            </w:r>
            <w:r w:rsidR="002D3E2F">
              <w:rPr>
                <w:rFonts w:ascii="Arial" w:hAnsi="Arial" w:cs="Arial"/>
                <w:sz w:val="21"/>
                <w:szCs w:val="21"/>
              </w:rPr>
              <w:t>del Consejo de Ministros</w:t>
            </w:r>
            <w:r w:rsidR="00C53D85">
              <w:rPr>
                <w:rFonts w:ascii="Arial" w:hAnsi="Arial" w:cs="Arial"/>
                <w:sz w:val="21"/>
                <w:szCs w:val="21"/>
              </w:rPr>
              <w:t>.</w:t>
            </w:r>
          </w:p>
        </w:tc>
      </w:tr>
      <w:tr w:rsidR="002428AB" w:rsidTr="00EC6013">
        <w:trPr>
          <w:trHeight w:val="703"/>
        </w:trPr>
        <w:tc>
          <w:tcPr>
            <w:tcW w:w="2376" w:type="dxa"/>
            <w:vAlign w:val="center"/>
          </w:tcPr>
          <w:p w:rsidR="002428AB" w:rsidRPr="00382BF7" w:rsidRDefault="002428AB" w:rsidP="002428AB">
            <w:pPr>
              <w:spacing w:line="276" w:lineRule="auto"/>
              <w:jc w:val="center"/>
              <w:rPr>
                <w:rFonts w:ascii="Arial" w:hAnsi="Arial" w:cs="Arial"/>
                <w:sz w:val="21"/>
                <w:szCs w:val="21"/>
                <w:lang w:val="es-PE" w:eastAsia="en-US"/>
              </w:rPr>
            </w:pPr>
            <w:r>
              <w:rPr>
                <w:rFonts w:ascii="Arial" w:hAnsi="Arial" w:cs="Arial"/>
                <w:sz w:val="21"/>
                <w:szCs w:val="21"/>
                <w:lang w:val="es-PE" w:eastAsia="en-US"/>
              </w:rPr>
              <w:t>Resolución Ministerial Nº 0</w:t>
            </w:r>
            <w:r w:rsidR="00BC269C">
              <w:rPr>
                <w:rFonts w:ascii="Arial" w:hAnsi="Arial" w:cs="Arial"/>
                <w:sz w:val="21"/>
                <w:szCs w:val="21"/>
                <w:lang w:val="es-PE" w:eastAsia="en-US"/>
              </w:rPr>
              <w:t>50</w:t>
            </w:r>
            <w:r>
              <w:rPr>
                <w:rFonts w:ascii="Arial" w:hAnsi="Arial" w:cs="Arial"/>
                <w:sz w:val="21"/>
                <w:szCs w:val="21"/>
                <w:lang w:val="es-PE" w:eastAsia="en-US"/>
              </w:rPr>
              <w:t>-</w:t>
            </w:r>
            <w:r w:rsidRPr="00382BF7">
              <w:rPr>
                <w:rFonts w:ascii="Arial" w:hAnsi="Arial" w:cs="Arial"/>
                <w:sz w:val="21"/>
                <w:szCs w:val="21"/>
                <w:lang w:val="es-PE" w:eastAsia="en-US"/>
              </w:rPr>
              <w:t>2014</w:t>
            </w:r>
            <w:r>
              <w:rPr>
                <w:rFonts w:ascii="Arial" w:hAnsi="Arial" w:cs="Arial"/>
                <w:sz w:val="21"/>
                <w:szCs w:val="21"/>
                <w:lang w:val="es-PE" w:eastAsia="en-US"/>
              </w:rPr>
              <w:t>-MIMP</w:t>
            </w:r>
          </w:p>
          <w:p w:rsidR="002428AB" w:rsidRDefault="002428AB" w:rsidP="00A80D44">
            <w:pPr>
              <w:spacing w:line="276" w:lineRule="auto"/>
              <w:jc w:val="center"/>
              <w:rPr>
                <w:rFonts w:ascii="Arial" w:hAnsi="Arial" w:cs="Arial"/>
                <w:sz w:val="21"/>
                <w:szCs w:val="21"/>
                <w:lang w:val="es-PE" w:eastAsia="en-US"/>
              </w:rPr>
            </w:pPr>
            <w:r w:rsidRPr="00382BF7">
              <w:rPr>
                <w:rFonts w:ascii="Arial" w:hAnsi="Arial" w:cs="Arial"/>
                <w:sz w:val="21"/>
                <w:szCs w:val="21"/>
              </w:rPr>
              <w:t xml:space="preserve"> </w:t>
            </w:r>
            <w:r w:rsidRPr="00F250C0">
              <w:rPr>
                <w:rFonts w:ascii="Arial" w:hAnsi="Arial" w:cs="Arial"/>
                <w:sz w:val="21"/>
                <w:szCs w:val="21"/>
              </w:rPr>
              <w:t>(2</w:t>
            </w:r>
            <w:r w:rsidR="00A80D44" w:rsidRPr="00F250C0">
              <w:rPr>
                <w:rFonts w:ascii="Arial" w:hAnsi="Arial" w:cs="Arial"/>
                <w:sz w:val="21"/>
                <w:szCs w:val="21"/>
              </w:rPr>
              <w:t>8</w:t>
            </w:r>
            <w:r w:rsidRPr="00F250C0">
              <w:rPr>
                <w:rFonts w:ascii="Arial" w:hAnsi="Arial" w:cs="Arial"/>
                <w:sz w:val="21"/>
                <w:szCs w:val="21"/>
              </w:rPr>
              <w:t>/02/2014)</w:t>
            </w:r>
          </w:p>
        </w:tc>
        <w:tc>
          <w:tcPr>
            <w:tcW w:w="3261" w:type="dxa"/>
            <w:vAlign w:val="center"/>
          </w:tcPr>
          <w:p w:rsidR="002428AB" w:rsidRDefault="007F7E1A" w:rsidP="009F5CDC">
            <w:pPr>
              <w:autoSpaceDE w:val="0"/>
              <w:autoSpaceDN w:val="0"/>
              <w:adjustRightInd w:val="0"/>
              <w:jc w:val="center"/>
              <w:rPr>
                <w:rFonts w:ascii="Arial" w:hAnsi="Arial" w:cs="Arial"/>
                <w:sz w:val="21"/>
                <w:szCs w:val="21"/>
                <w:lang w:val="es-PE" w:eastAsia="en-US"/>
              </w:rPr>
            </w:pPr>
            <w:r>
              <w:rPr>
                <w:rFonts w:ascii="Arial" w:hAnsi="Arial" w:cs="Arial"/>
                <w:sz w:val="21"/>
                <w:szCs w:val="21"/>
                <w:lang w:val="es-PE" w:eastAsia="en-US"/>
              </w:rPr>
              <w:t xml:space="preserve">Designan </w:t>
            </w:r>
            <w:r w:rsidR="00BC269C">
              <w:rPr>
                <w:rFonts w:ascii="Arial" w:hAnsi="Arial" w:cs="Arial"/>
                <w:sz w:val="21"/>
                <w:szCs w:val="21"/>
                <w:lang w:val="es-PE" w:eastAsia="en-US"/>
              </w:rPr>
              <w:t>Secretario</w:t>
            </w:r>
            <w:r w:rsidR="002428AB">
              <w:rPr>
                <w:rFonts w:ascii="Arial" w:hAnsi="Arial" w:cs="Arial"/>
                <w:sz w:val="21"/>
                <w:szCs w:val="21"/>
                <w:lang w:val="es-PE" w:eastAsia="en-US"/>
              </w:rPr>
              <w:t xml:space="preserve"> General del </w:t>
            </w:r>
            <w:r w:rsidR="002428AB">
              <w:rPr>
                <w:rFonts w:ascii="Arial" w:hAnsi="Arial" w:cs="Arial"/>
                <w:sz w:val="21"/>
                <w:szCs w:val="21"/>
              </w:rPr>
              <w:t>Ministerio de la Mujer y Poblaciones Vulnerables</w:t>
            </w:r>
            <w:r w:rsidR="00BC269C">
              <w:rPr>
                <w:rFonts w:ascii="Arial" w:hAnsi="Arial" w:cs="Arial"/>
                <w:sz w:val="21"/>
                <w:szCs w:val="21"/>
              </w:rPr>
              <w:t xml:space="preserve"> - MIMP</w:t>
            </w:r>
          </w:p>
        </w:tc>
        <w:tc>
          <w:tcPr>
            <w:tcW w:w="2268" w:type="dxa"/>
            <w:vAlign w:val="center"/>
          </w:tcPr>
          <w:p w:rsidR="002428AB" w:rsidRDefault="002428AB" w:rsidP="00AB5265">
            <w:pPr>
              <w:spacing w:line="276" w:lineRule="auto"/>
              <w:jc w:val="center"/>
              <w:rPr>
                <w:rFonts w:ascii="Arial" w:hAnsi="Arial" w:cs="Arial"/>
                <w:sz w:val="21"/>
                <w:szCs w:val="21"/>
              </w:rPr>
            </w:pPr>
            <w:r>
              <w:rPr>
                <w:rFonts w:ascii="Arial" w:hAnsi="Arial" w:cs="Arial"/>
                <w:sz w:val="21"/>
                <w:szCs w:val="21"/>
              </w:rPr>
              <w:t>Ministerio de la Mujer y Poblaciones Vulnerables</w:t>
            </w:r>
          </w:p>
        </w:tc>
        <w:tc>
          <w:tcPr>
            <w:tcW w:w="6313" w:type="dxa"/>
            <w:vAlign w:val="center"/>
          </w:tcPr>
          <w:p w:rsidR="00D34FBA" w:rsidRDefault="00D34FBA" w:rsidP="00D34FBA">
            <w:pPr>
              <w:pStyle w:val="Prrafodelista"/>
              <w:autoSpaceDE w:val="0"/>
              <w:autoSpaceDN w:val="0"/>
              <w:adjustRightInd w:val="0"/>
              <w:ind w:left="360"/>
              <w:rPr>
                <w:rFonts w:ascii="Arial" w:hAnsi="Arial" w:cs="Arial"/>
                <w:sz w:val="21"/>
                <w:szCs w:val="21"/>
              </w:rPr>
            </w:pPr>
          </w:p>
          <w:p w:rsidR="002428AB" w:rsidRDefault="00D34FBA" w:rsidP="00BF3D6F">
            <w:pPr>
              <w:pStyle w:val="Prrafodelista"/>
              <w:numPr>
                <w:ilvl w:val="0"/>
                <w:numId w:val="19"/>
              </w:numPr>
              <w:autoSpaceDE w:val="0"/>
              <w:autoSpaceDN w:val="0"/>
              <w:adjustRightInd w:val="0"/>
              <w:jc w:val="both"/>
              <w:rPr>
                <w:rFonts w:ascii="Arial" w:hAnsi="Arial" w:cs="Arial"/>
                <w:sz w:val="21"/>
                <w:szCs w:val="21"/>
              </w:rPr>
            </w:pPr>
            <w:r>
              <w:rPr>
                <w:rFonts w:ascii="Arial" w:hAnsi="Arial" w:cs="Arial"/>
                <w:sz w:val="21"/>
                <w:szCs w:val="21"/>
              </w:rPr>
              <w:t xml:space="preserve">Se </w:t>
            </w:r>
            <w:r w:rsidR="00C53D85">
              <w:rPr>
                <w:rFonts w:ascii="Arial" w:hAnsi="Arial" w:cs="Arial"/>
                <w:sz w:val="21"/>
                <w:szCs w:val="21"/>
              </w:rPr>
              <w:t xml:space="preserve">designa al señor Juan Eulogio Arroyo Laguna en el cargo de confianza de Secretario </w:t>
            </w:r>
            <w:r w:rsidR="00C53D85">
              <w:rPr>
                <w:rFonts w:ascii="Arial" w:hAnsi="Arial" w:cs="Arial"/>
                <w:sz w:val="21"/>
                <w:szCs w:val="21"/>
                <w:lang w:val="es-PE" w:eastAsia="en-US"/>
              </w:rPr>
              <w:t xml:space="preserve">General del </w:t>
            </w:r>
            <w:r w:rsidR="00C53D85">
              <w:rPr>
                <w:rFonts w:ascii="Arial" w:hAnsi="Arial" w:cs="Arial"/>
                <w:sz w:val="21"/>
                <w:szCs w:val="21"/>
              </w:rPr>
              <w:t>Ministerio de la Mujer y Poblaciones Vulnerables – MIMP.</w:t>
            </w:r>
          </w:p>
          <w:p w:rsidR="00D34FBA" w:rsidRPr="00D34FBA" w:rsidRDefault="00D34FBA" w:rsidP="00D34FBA">
            <w:pPr>
              <w:pStyle w:val="Prrafodelista"/>
              <w:autoSpaceDE w:val="0"/>
              <w:autoSpaceDN w:val="0"/>
              <w:adjustRightInd w:val="0"/>
              <w:ind w:left="360"/>
              <w:rPr>
                <w:rFonts w:ascii="Arial" w:hAnsi="Arial" w:cs="Arial"/>
                <w:sz w:val="21"/>
                <w:szCs w:val="21"/>
              </w:rPr>
            </w:pPr>
          </w:p>
        </w:tc>
      </w:tr>
      <w:tr w:rsidR="009A1F45" w:rsidTr="00EC6013">
        <w:trPr>
          <w:trHeight w:val="703"/>
        </w:trPr>
        <w:tc>
          <w:tcPr>
            <w:tcW w:w="2376" w:type="dxa"/>
            <w:vAlign w:val="center"/>
          </w:tcPr>
          <w:p w:rsidR="009A1F45" w:rsidRPr="00382BF7" w:rsidRDefault="009A1F45" w:rsidP="009A1F45">
            <w:pPr>
              <w:spacing w:line="276" w:lineRule="auto"/>
              <w:jc w:val="center"/>
              <w:rPr>
                <w:rFonts w:ascii="Arial" w:hAnsi="Arial" w:cs="Arial"/>
                <w:sz w:val="21"/>
                <w:szCs w:val="21"/>
                <w:lang w:val="es-PE" w:eastAsia="en-US"/>
              </w:rPr>
            </w:pPr>
            <w:r>
              <w:rPr>
                <w:rFonts w:ascii="Arial" w:hAnsi="Arial" w:cs="Arial"/>
                <w:sz w:val="21"/>
                <w:szCs w:val="21"/>
                <w:lang w:val="es-PE" w:eastAsia="en-US"/>
              </w:rPr>
              <w:t>Resolución Ministerial Nº 06</w:t>
            </w:r>
            <w:r w:rsidR="002B285F">
              <w:rPr>
                <w:rFonts w:ascii="Arial" w:hAnsi="Arial" w:cs="Arial"/>
                <w:sz w:val="21"/>
                <w:szCs w:val="21"/>
                <w:lang w:val="es-PE" w:eastAsia="en-US"/>
              </w:rPr>
              <w:t>7</w:t>
            </w:r>
            <w:r>
              <w:rPr>
                <w:rFonts w:ascii="Arial" w:hAnsi="Arial" w:cs="Arial"/>
                <w:sz w:val="21"/>
                <w:szCs w:val="21"/>
                <w:lang w:val="es-PE" w:eastAsia="en-US"/>
              </w:rPr>
              <w:t>-</w:t>
            </w:r>
            <w:r w:rsidRPr="00382BF7">
              <w:rPr>
                <w:rFonts w:ascii="Arial" w:hAnsi="Arial" w:cs="Arial"/>
                <w:sz w:val="21"/>
                <w:szCs w:val="21"/>
                <w:lang w:val="es-PE" w:eastAsia="en-US"/>
              </w:rPr>
              <w:t>2014</w:t>
            </w:r>
            <w:r>
              <w:rPr>
                <w:rFonts w:ascii="Arial" w:hAnsi="Arial" w:cs="Arial"/>
                <w:sz w:val="21"/>
                <w:szCs w:val="21"/>
                <w:lang w:val="es-PE" w:eastAsia="en-US"/>
              </w:rPr>
              <w:t>-VIVIENDA</w:t>
            </w:r>
          </w:p>
          <w:p w:rsidR="009A1F45" w:rsidRDefault="009A1F45" w:rsidP="005350FD">
            <w:pPr>
              <w:spacing w:line="276" w:lineRule="auto"/>
              <w:jc w:val="center"/>
              <w:rPr>
                <w:rFonts w:ascii="Arial" w:hAnsi="Arial" w:cs="Arial"/>
                <w:sz w:val="21"/>
                <w:szCs w:val="21"/>
                <w:lang w:val="es-PE" w:eastAsia="en-US"/>
              </w:rPr>
            </w:pPr>
            <w:r w:rsidRPr="00382BF7">
              <w:rPr>
                <w:rFonts w:ascii="Arial" w:hAnsi="Arial" w:cs="Arial"/>
                <w:sz w:val="21"/>
                <w:szCs w:val="21"/>
              </w:rPr>
              <w:t xml:space="preserve"> </w:t>
            </w:r>
            <w:r w:rsidRPr="005350FD">
              <w:rPr>
                <w:rFonts w:ascii="Arial" w:hAnsi="Arial" w:cs="Arial"/>
                <w:sz w:val="21"/>
                <w:szCs w:val="21"/>
              </w:rPr>
              <w:t>(</w:t>
            </w:r>
            <w:r w:rsidR="005350FD" w:rsidRPr="005350FD">
              <w:rPr>
                <w:rFonts w:ascii="Arial" w:hAnsi="Arial" w:cs="Arial"/>
                <w:sz w:val="21"/>
                <w:szCs w:val="21"/>
              </w:rPr>
              <w:t>03/03</w:t>
            </w:r>
            <w:r w:rsidRPr="005350FD">
              <w:rPr>
                <w:rFonts w:ascii="Arial" w:hAnsi="Arial" w:cs="Arial"/>
                <w:sz w:val="21"/>
                <w:szCs w:val="21"/>
              </w:rPr>
              <w:t>/2014)</w:t>
            </w:r>
          </w:p>
        </w:tc>
        <w:tc>
          <w:tcPr>
            <w:tcW w:w="3261" w:type="dxa"/>
            <w:vAlign w:val="center"/>
          </w:tcPr>
          <w:p w:rsidR="009A1F45" w:rsidRDefault="009A1F45" w:rsidP="002B285F">
            <w:pPr>
              <w:autoSpaceDE w:val="0"/>
              <w:autoSpaceDN w:val="0"/>
              <w:adjustRightInd w:val="0"/>
              <w:jc w:val="center"/>
              <w:rPr>
                <w:rFonts w:ascii="Arial" w:hAnsi="Arial" w:cs="Arial"/>
                <w:sz w:val="21"/>
                <w:szCs w:val="21"/>
                <w:lang w:val="es-PE" w:eastAsia="en-US"/>
              </w:rPr>
            </w:pPr>
            <w:r>
              <w:rPr>
                <w:rFonts w:ascii="Arial" w:hAnsi="Arial" w:cs="Arial"/>
                <w:sz w:val="21"/>
                <w:szCs w:val="21"/>
                <w:lang w:val="es-PE" w:eastAsia="en-US"/>
              </w:rPr>
              <w:t xml:space="preserve">Aceptan renuncia </w:t>
            </w:r>
            <w:r w:rsidR="002B285F">
              <w:rPr>
                <w:rFonts w:ascii="Arial" w:hAnsi="Arial" w:cs="Arial"/>
                <w:sz w:val="21"/>
                <w:szCs w:val="21"/>
                <w:lang w:val="es-PE" w:eastAsia="en-US"/>
              </w:rPr>
              <w:t>y encargan funciones de Jefe de Gabinete de Asesores</w:t>
            </w:r>
            <w:r>
              <w:rPr>
                <w:rFonts w:ascii="Arial" w:hAnsi="Arial" w:cs="Arial"/>
                <w:sz w:val="21"/>
                <w:szCs w:val="21"/>
                <w:lang w:val="es-PE" w:eastAsia="en-US"/>
              </w:rPr>
              <w:t xml:space="preserve"> del Ministerio de Vivienda, </w:t>
            </w:r>
            <w:r>
              <w:rPr>
                <w:rFonts w:ascii="Arial" w:hAnsi="Arial" w:cs="Arial"/>
                <w:sz w:val="21"/>
                <w:szCs w:val="21"/>
              </w:rPr>
              <w:t>Construcción y Saneamiento</w:t>
            </w:r>
          </w:p>
        </w:tc>
        <w:tc>
          <w:tcPr>
            <w:tcW w:w="2268" w:type="dxa"/>
            <w:vAlign w:val="center"/>
          </w:tcPr>
          <w:p w:rsidR="009A1F45" w:rsidRDefault="009A1F45" w:rsidP="00AB5265">
            <w:pPr>
              <w:spacing w:line="276" w:lineRule="auto"/>
              <w:jc w:val="center"/>
              <w:rPr>
                <w:rFonts w:ascii="Arial" w:hAnsi="Arial" w:cs="Arial"/>
                <w:sz w:val="21"/>
                <w:szCs w:val="21"/>
              </w:rPr>
            </w:pPr>
            <w:r>
              <w:rPr>
                <w:rFonts w:ascii="Arial" w:hAnsi="Arial" w:cs="Arial"/>
                <w:sz w:val="21"/>
                <w:szCs w:val="21"/>
              </w:rPr>
              <w:t>Ministerio de Vivienda Construcción y Saneamiento</w:t>
            </w:r>
          </w:p>
        </w:tc>
        <w:tc>
          <w:tcPr>
            <w:tcW w:w="6313" w:type="dxa"/>
            <w:vAlign w:val="center"/>
          </w:tcPr>
          <w:p w:rsidR="009212CB" w:rsidRDefault="009212CB" w:rsidP="009212CB">
            <w:pPr>
              <w:pStyle w:val="Prrafodelista"/>
              <w:autoSpaceDE w:val="0"/>
              <w:autoSpaceDN w:val="0"/>
              <w:adjustRightInd w:val="0"/>
              <w:ind w:left="360"/>
              <w:jc w:val="both"/>
              <w:rPr>
                <w:rFonts w:ascii="Arial" w:hAnsi="Arial" w:cs="Arial"/>
                <w:sz w:val="21"/>
                <w:szCs w:val="21"/>
              </w:rPr>
            </w:pPr>
          </w:p>
          <w:p w:rsidR="009A1F45" w:rsidRDefault="009212CB" w:rsidP="009212CB">
            <w:pPr>
              <w:pStyle w:val="Prrafodelista"/>
              <w:numPr>
                <w:ilvl w:val="0"/>
                <w:numId w:val="19"/>
              </w:numPr>
              <w:autoSpaceDE w:val="0"/>
              <w:autoSpaceDN w:val="0"/>
              <w:adjustRightInd w:val="0"/>
              <w:jc w:val="both"/>
              <w:rPr>
                <w:rFonts w:ascii="Arial" w:hAnsi="Arial" w:cs="Arial"/>
                <w:sz w:val="21"/>
                <w:szCs w:val="21"/>
              </w:rPr>
            </w:pPr>
            <w:r>
              <w:rPr>
                <w:rFonts w:ascii="Arial" w:hAnsi="Arial" w:cs="Arial"/>
                <w:sz w:val="21"/>
                <w:szCs w:val="21"/>
              </w:rPr>
              <w:t>Se acepta</w:t>
            </w:r>
            <w:r w:rsidRPr="009212CB">
              <w:rPr>
                <w:rFonts w:ascii="Arial" w:hAnsi="Arial" w:cs="Arial"/>
                <w:sz w:val="21"/>
                <w:szCs w:val="21"/>
              </w:rPr>
              <w:t xml:space="preserve"> la renuncia </w:t>
            </w:r>
            <w:r w:rsidR="00F33B9F">
              <w:rPr>
                <w:rFonts w:ascii="Arial" w:hAnsi="Arial" w:cs="Arial"/>
                <w:sz w:val="21"/>
                <w:szCs w:val="21"/>
              </w:rPr>
              <w:t>formula</w:t>
            </w:r>
            <w:r w:rsidRPr="009212CB">
              <w:rPr>
                <w:rFonts w:ascii="Arial" w:hAnsi="Arial" w:cs="Arial"/>
                <w:sz w:val="21"/>
                <w:szCs w:val="21"/>
              </w:rPr>
              <w:t>da</w:t>
            </w:r>
            <w:r>
              <w:rPr>
                <w:rFonts w:ascii="Arial" w:hAnsi="Arial" w:cs="Arial"/>
                <w:sz w:val="21"/>
                <w:szCs w:val="21"/>
              </w:rPr>
              <w:t xml:space="preserve"> </w:t>
            </w:r>
            <w:r w:rsidRPr="009212CB">
              <w:rPr>
                <w:rFonts w:ascii="Arial" w:hAnsi="Arial" w:cs="Arial"/>
                <w:sz w:val="21"/>
                <w:szCs w:val="21"/>
              </w:rPr>
              <w:t xml:space="preserve">por </w:t>
            </w:r>
            <w:r w:rsidR="00F33B9F">
              <w:rPr>
                <w:rFonts w:ascii="Arial" w:hAnsi="Arial" w:cs="Arial"/>
                <w:sz w:val="21"/>
                <w:szCs w:val="21"/>
              </w:rPr>
              <w:t xml:space="preserve">el señor Jesús </w:t>
            </w:r>
            <w:proofErr w:type="spellStart"/>
            <w:r w:rsidR="00F33B9F">
              <w:rPr>
                <w:rFonts w:ascii="Arial" w:hAnsi="Arial" w:cs="Arial"/>
                <w:sz w:val="21"/>
                <w:szCs w:val="21"/>
              </w:rPr>
              <w:t>Roddy</w:t>
            </w:r>
            <w:proofErr w:type="spellEnd"/>
            <w:r w:rsidR="00F33B9F">
              <w:rPr>
                <w:rFonts w:ascii="Arial" w:hAnsi="Arial" w:cs="Arial"/>
                <w:sz w:val="21"/>
                <w:szCs w:val="21"/>
              </w:rPr>
              <w:t xml:space="preserve"> </w:t>
            </w:r>
            <w:proofErr w:type="spellStart"/>
            <w:r w:rsidR="00F33B9F">
              <w:rPr>
                <w:rFonts w:ascii="Arial" w:hAnsi="Arial" w:cs="Arial"/>
                <w:sz w:val="21"/>
                <w:szCs w:val="21"/>
              </w:rPr>
              <w:t>Vidalón</w:t>
            </w:r>
            <w:proofErr w:type="spellEnd"/>
            <w:r w:rsidR="00F33B9F">
              <w:rPr>
                <w:rFonts w:ascii="Arial" w:hAnsi="Arial" w:cs="Arial"/>
                <w:sz w:val="21"/>
                <w:szCs w:val="21"/>
              </w:rPr>
              <w:t xml:space="preserve"> Orellana al cargo de Jefe </w:t>
            </w:r>
            <w:r w:rsidR="00F33B9F">
              <w:rPr>
                <w:rFonts w:ascii="Arial" w:hAnsi="Arial" w:cs="Arial"/>
                <w:sz w:val="21"/>
                <w:szCs w:val="21"/>
                <w:lang w:val="es-PE" w:eastAsia="en-US"/>
              </w:rPr>
              <w:t xml:space="preserve">de Gabinete de Asesores del Ministerio de Vivienda, </w:t>
            </w:r>
            <w:r w:rsidR="00F33B9F">
              <w:rPr>
                <w:rFonts w:ascii="Arial" w:hAnsi="Arial" w:cs="Arial"/>
                <w:sz w:val="21"/>
                <w:szCs w:val="21"/>
              </w:rPr>
              <w:t>Construcción y Saneamiento, dándosele las gracias por los servicios prestados.</w:t>
            </w:r>
          </w:p>
          <w:p w:rsidR="00F33B9F" w:rsidRDefault="00F33B9F" w:rsidP="00F33B9F">
            <w:pPr>
              <w:pStyle w:val="Prrafodelista"/>
              <w:autoSpaceDE w:val="0"/>
              <w:autoSpaceDN w:val="0"/>
              <w:adjustRightInd w:val="0"/>
              <w:ind w:left="360"/>
              <w:jc w:val="both"/>
              <w:rPr>
                <w:rFonts w:ascii="Arial" w:hAnsi="Arial" w:cs="Arial"/>
                <w:sz w:val="21"/>
                <w:szCs w:val="21"/>
              </w:rPr>
            </w:pPr>
          </w:p>
          <w:p w:rsidR="00F33B9F" w:rsidRDefault="00F33B9F" w:rsidP="009212CB">
            <w:pPr>
              <w:pStyle w:val="Prrafodelista"/>
              <w:numPr>
                <w:ilvl w:val="0"/>
                <w:numId w:val="19"/>
              </w:numPr>
              <w:autoSpaceDE w:val="0"/>
              <w:autoSpaceDN w:val="0"/>
              <w:adjustRightInd w:val="0"/>
              <w:jc w:val="both"/>
              <w:rPr>
                <w:rFonts w:ascii="Arial" w:hAnsi="Arial" w:cs="Arial"/>
                <w:sz w:val="21"/>
                <w:szCs w:val="21"/>
              </w:rPr>
            </w:pPr>
            <w:r>
              <w:rPr>
                <w:rFonts w:ascii="Arial" w:hAnsi="Arial" w:cs="Arial"/>
                <w:sz w:val="21"/>
                <w:szCs w:val="21"/>
              </w:rPr>
              <w:t xml:space="preserve">Se encarga a la señorita abogada </w:t>
            </w:r>
            <w:proofErr w:type="spellStart"/>
            <w:r>
              <w:rPr>
                <w:rFonts w:ascii="Arial" w:hAnsi="Arial" w:cs="Arial"/>
                <w:sz w:val="21"/>
                <w:szCs w:val="21"/>
              </w:rPr>
              <w:t>Aouda</w:t>
            </w:r>
            <w:proofErr w:type="spellEnd"/>
            <w:r>
              <w:rPr>
                <w:rFonts w:ascii="Arial" w:hAnsi="Arial" w:cs="Arial"/>
                <w:sz w:val="21"/>
                <w:szCs w:val="21"/>
              </w:rPr>
              <w:t xml:space="preserve"> </w:t>
            </w:r>
            <w:proofErr w:type="spellStart"/>
            <w:r>
              <w:rPr>
                <w:rFonts w:ascii="Arial" w:hAnsi="Arial" w:cs="Arial"/>
                <w:sz w:val="21"/>
                <w:szCs w:val="21"/>
              </w:rPr>
              <w:t>Annel</w:t>
            </w:r>
            <w:proofErr w:type="spellEnd"/>
            <w:r>
              <w:rPr>
                <w:rFonts w:ascii="Arial" w:hAnsi="Arial" w:cs="Arial"/>
                <w:sz w:val="21"/>
                <w:szCs w:val="21"/>
              </w:rPr>
              <w:t xml:space="preserve"> Del Castillo Díaz el cargo de Jefe </w:t>
            </w:r>
            <w:r>
              <w:rPr>
                <w:rFonts w:ascii="Arial" w:hAnsi="Arial" w:cs="Arial"/>
                <w:sz w:val="21"/>
                <w:szCs w:val="21"/>
                <w:lang w:val="es-PE" w:eastAsia="en-US"/>
              </w:rPr>
              <w:t xml:space="preserve">de Gabinete de Asesores del Ministerio de Vivienda, </w:t>
            </w:r>
            <w:r>
              <w:rPr>
                <w:rFonts w:ascii="Arial" w:hAnsi="Arial" w:cs="Arial"/>
                <w:sz w:val="21"/>
                <w:szCs w:val="21"/>
              </w:rPr>
              <w:t>Construcción y Saneamiento, en tanto se designe al titular.</w:t>
            </w:r>
          </w:p>
          <w:p w:rsidR="009212CB" w:rsidRPr="009212CB" w:rsidRDefault="009212CB" w:rsidP="009212CB">
            <w:pPr>
              <w:pStyle w:val="Prrafodelista"/>
              <w:autoSpaceDE w:val="0"/>
              <w:autoSpaceDN w:val="0"/>
              <w:adjustRightInd w:val="0"/>
              <w:ind w:left="360"/>
              <w:jc w:val="both"/>
              <w:rPr>
                <w:rFonts w:ascii="Arial" w:hAnsi="Arial" w:cs="Arial"/>
                <w:sz w:val="21"/>
                <w:szCs w:val="21"/>
              </w:rPr>
            </w:pPr>
          </w:p>
        </w:tc>
      </w:tr>
    </w:tbl>
    <w:p w:rsidR="00A3723B" w:rsidRDefault="00A3723B" w:rsidP="00920F22">
      <w:pPr>
        <w:spacing w:line="276" w:lineRule="auto"/>
        <w:rPr>
          <w:rFonts w:ascii="Arial" w:eastAsia="Calibri" w:hAnsi="Arial" w:cs="Arial"/>
          <w:color w:val="0C0C0C"/>
          <w:sz w:val="21"/>
          <w:szCs w:val="21"/>
          <w:lang w:eastAsia="es-PE"/>
        </w:rPr>
      </w:pPr>
    </w:p>
    <w:p w:rsidR="0041094F" w:rsidRDefault="0041094F" w:rsidP="00920F22">
      <w:pPr>
        <w:spacing w:line="276" w:lineRule="auto"/>
        <w:rPr>
          <w:rFonts w:ascii="Arial" w:eastAsia="Calibri" w:hAnsi="Arial" w:cs="Arial"/>
          <w:color w:val="0C0C0C"/>
          <w:sz w:val="21"/>
          <w:szCs w:val="21"/>
          <w:lang w:eastAsia="es-PE"/>
        </w:rPr>
      </w:pPr>
    </w:p>
    <w:p w:rsidR="0041094F" w:rsidRDefault="0041094F" w:rsidP="00920F22">
      <w:pPr>
        <w:spacing w:line="276" w:lineRule="auto"/>
        <w:rPr>
          <w:rFonts w:ascii="Arial" w:eastAsia="Calibri" w:hAnsi="Arial" w:cs="Arial"/>
          <w:color w:val="0C0C0C"/>
          <w:sz w:val="21"/>
          <w:szCs w:val="21"/>
          <w:lang w:eastAsia="es-PE"/>
        </w:rPr>
      </w:pPr>
    </w:p>
    <w:p w:rsidR="0041094F" w:rsidRDefault="0041094F" w:rsidP="00920F22">
      <w:pPr>
        <w:spacing w:line="276" w:lineRule="auto"/>
        <w:rPr>
          <w:rFonts w:ascii="Arial" w:eastAsia="Calibri" w:hAnsi="Arial" w:cs="Arial"/>
          <w:color w:val="0C0C0C"/>
          <w:sz w:val="21"/>
          <w:szCs w:val="21"/>
          <w:lang w:eastAsia="es-PE"/>
        </w:rPr>
      </w:pPr>
    </w:p>
    <w:p w:rsidR="0041094F" w:rsidRDefault="0041094F" w:rsidP="00920F22">
      <w:pPr>
        <w:spacing w:line="276" w:lineRule="auto"/>
        <w:rPr>
          <w:rFonts w:ascii="Arial" w:eastAsia="Calibri" w:hAnsi="Arial" w:cs="Arial"/>
          <w:color w:val="0C0C0C"/>
          <w:sz w:val="21"/>
          <w:szCs w:val="21"/>
          <w:lang w:eastAsia="es-PE"/>
        </w:rPr>
      </w:pPr>
    </w:p>
    <w:p w:rsidR="0041094F" w:rsidRDefault="0041094F" w:rsidP="00920F22">
      <w:pPr>
        <w:spacing w:line="276" w:lineRule="auto"/>
        <w:rPr>
          <w:rFonts w:ascii="Arial" w:eastAsia="Calibri" w:hAnsi="Arial" w:cs="Arial"/>
          <w:color w:val="0C0C0C"/>
          <w:sz w:val="21"/>
          <w:szCs w:val="21"/>
          <w:lang w:eastAsia="es-PE"/>
        </w:rPr>
      </w:pPr>
    </w:p>
    <w:p w:rsidR="0041094F" w:rsidRDefault="0041094F" w:rsidP="00920F22">
      <w:pPr>
        <w:spacing w:line="276" w:lineRule="auto"/>
        <w:rPr>
          <w:rFonts w:ascii="Arial" w:eastAsia="Calibri" w:hAnsi="Arial" w:cs="Arial"/>
          <w:color w:val="0C0C0C"/>
          <w:sz w:val="21"/>
          <w:szCs w:val="21"/>
          <w:lang w:eastAsia="es-PE"/>
        </w:rPr>
      </w:pPr>
    </w:p>
    <w:p w:rsidR="0041094F" w:rsidRDefault="0041094F" w:rsidP="00920F22">
      <w:pPr>
        <w:spacing w:line="276" w:lineRule="auto"/>
        <w:rPr>
          <w:rFonts w:ascii="Arial" w:eastAsia="Calibri" w:hAnsi="Arial" w:cs="Arial"/>
          <w:color w:val="0C0C0C"/>
          <w:sz w:val="21"/>
          <w:szCs w:val="21"/>
          <w:lang w:eastAsia="es-PE"/>
        </w:rPr>
      </w:pPr>
    </w:p>
    <w:p w:rsidR="0041094F" w:rsidRDefault="0041094F" w:rsidP="0041094F">
      <w:pPr>
        <w:spacing w:line="276" w:lineRule="auto"/>
        <w:jc w:val="center"/>
        <w:rPr>
          <w:rFonts w:ascii="Arial" w:hAnsi="Arial" w:cs="Arial"/>
          <w:b/>
          <w:sz w:val="22"/>
          <w:szCs w:val="22"/>
          <w:lang w:val="es-PE"/>
        </w:rPr>
      </w:pPr>
      <w:r>
        <w:rPr>
          <w:rFonts w:ascii="Arial" w:hAnsi="Arial" w:cs="Arial"/>
          <w:b/>
          <w:sz w:val="22"/>
          <w:szCs w:val="22"/>
          <w:lang w:val="es-PE"/>
        </w:rPr>
        <w:t>SEPARATA ESPECIAL</w:t>
      </w:r>
    </w:p>
    <w:p w:rsidR="0041094F" w:rsidRPr="00485429" w:rsidRDefault="0041094F" w:rsidP="0041094F">
      <w:pPr>
        <w:spacing w:line="276" w:lineRule="auto"/>
        <w:jc w:val="center"/>
        <w:rPr>
          <w:rFonts w:ascii="Arial" w:hAnsi="Arial" w:cs="Arial"/>
          <w:b/>
          <w:sz w:val="22"/>
          <w:szCs w:val="22"/>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3261"/>
        <w:gridCol w:w="2268"/>
        <w:gridCol w:w="6313"/>
      </w:tblGrid>
      <w:tr w:rsidR="0041094F" w:rsidTr="00A61D5F">
        <w:tc>
          <w:tcPr>
            <w:tcW w:w="2376" w:type="dxa"/>
            <w:shd w:val="clear" w:color="auto" w:fill="C4BC96" w:themeFill="background2" w:themeFillShade="BF"/>
            <w:vAlign w:val="center"/>
          </w:tcPr>
          <w:p w:rsidR="0041094F" w:rsidRPr="00485429" w:rsidRDefault="0041094F" w:rsidP="00A61D5F">
            <w:pPr>
              <w:spacing w:line="276" w:lineRule="auto"/>
              <w:jc w:val="center"/>
              <w:rPr>
                <w:rFonts w:ascii="Arial" w:hAnsi="Arial" w:cs="Arial"/>
                <w:b/>
                <w:sz w:val="20"/>
                <w:szCs w:val="20"/>
              </w:rPr>
            </w:pPr>
            <w:r w:rsidRPr="00485429">
              <w:rPr>
                <w:rFonts w:ascii="Arial" w:hAnsi="Arial" w:cs="Arial"/>
                <w:b/>
                <w:sz w:val="20"/>
                <w:szCs w:val="20"/>
              </w:rPr>
              <w:t>NORMA</w:t>
            </w:r>
          </w:p>
        </w:tc>
        <w:tc>
          <w:tcPr>
            <w:tcW w:w="3261" w:type="dxa"/>
            <w:shd w:val="clear" w:color="auto" w:fill="C4BC96" w:themeFill="background2" w:themeFillShade="BF"/>
            <w:vAlign w:val="center"/>
          </w:tcPr>
          <w:p w:rsidR="0041094F" w:rsidRDefault="0041094F" w:rsidP="00A61D5F">
            <w:pPr>
              <w:spacing w:line="276" w:lineRule="auto"/>
              <w:jc w:val="center"/>
              <w:rPr>
                <w:rFonts w:ascii="Arial" w:hAnsi="Arial" w:cs="Arial"/>
                <w:b/>
                <w:sz w:val="20"/>
                <w:szCs w:val="20"/>
              </w:rPr>
            </w:pPr>
          </w:p>
          <w:p w:rsidR="0041094F" w:rsidRDefault="0041094F" w:rsidP="00A61D5F">
            <w:pPr>
              <w:spacing w:line="276" w:lineRule="auto"/>
              <w:jc w:val="center"/>
              <w:rPr>
                <w:rFonts w:ascii="Arial" w:hAnsi="Arial" w:cs="Arial"/>
                <w:b/>
                <w:sz w:val="20"/>
                <w:szCs w:val="20"/>
              </w:rPr>
            </w:pPr>
            <w:r w:rsidRPr="00485429">
              <w:rPr>
                <w:rFonts w:ascii="Arial" w:hAnsi="Arial" w:cs="Arial"/>
                <w:b/>
                <w:sz w:val="20"/>
                <w:szCs w:val="20"/>
              </w:rPr>
              <w:t>TÍTULO</w:t>
            </w:r>
          </w:p>
          <w:p w:rsidR="0041094F" w:rsidRPr="00485429" w:rsidRDefault="0041094F" w:rsidP="00A61D5F">
            <w:pPr>
              <w:spacing w:line="276" w:lineRule="auto"/>
              <w:jc w:val="center"/>
              <w:rPr>
                <w:rFonts w:ascii="Arial" w:hAnsi="Arial" w:cs="Arial"/>
                <w:b/>
                <w:sz w:val="20"/>
                <w:szCs w:val="20"/>
              </w:rPr>
            </w:pPr>
          </w:p>
        </w:tc>
        <w:tc>
          <w:tcPr>
            <w:tcW w:w="2268" w:type="dxa"/>
            <w:shd w:val="clear" w:color="auto" w:fill="C4BC96" w:themeFill="background2" w:themeFillShade="BF"/>
            <w:vAlign w:val="center"/>
          </w:tcPr>
          <w:p w:rsidR="0041094F" w:rsidRPr="00485429" w:rsidRDefault="0041094F" w:rsidP="00A61D5F">
            <w:pPr>
              <w:spacing w:line="276" w:lineRule="auto"/>
              <w:jc w:val="center"/>
              <w:rPr>
                <w:rFonts w:ascii="Arial" w:hAnsi="Arial" w:cs="Arial"/>
                <w:b/>
                <w:sz w:val="20"/>
                <w:szCs w:val="20"/>
              </w:rPr>
            </w:pPr>
            <w:r w:rsidRPr="00485429">
              <w:rPr>
                <w:rFonts w:ascii="Arial" w:hAnsi="Arial" w:cs="Arial"/>
                <w:b/>
                <w:sz w:val="20"/>
                <w:szCs w:val="20"/>
              </w:rPr>
              <w:t>ORGANISMO EMISOR</w:t>
            </w:r>
          </w:p>
        </w:tc>
        <w:tc>
          <w:tcPr>
            <w:tcW w:w="6313" w:type="dxa"/>
            <w:shd w:val="clear" w:color="auto" w:fill="C4BC96" w:themeFill="background2" w:themeFillShade="BF"/>
            <w:vAlign w:val="center"/>
          </w:tcPr>
          <w:p w:rsidR="0041094F" w:rsidRPr="00485429" w:rsidRDefault="0041094F" w:rsidP="00A61D5F">
            <w:pPr>
              <w:spacing w:line="276" w:lineRule="auto"/>
              <w:jc w:val="center"/>
              <w:rPr>
                <w:rFonts w:ascii="Arial" w:hAnsi="Arial" w:cs="Arial"/>
                <w:b/>
                <w:sz w:val="20"/>
                <w:szCs w:val="20"/>
              </w:rPr>
            </w:pPr>
            <w:r w:rsidRPr="00485429">
              <w:rPr>
                <w:rFonts w:ascii="Arial" w:hAnsi="Arial" w:cs="Arial"/>
                <w:b/>
                <w:sz w:val="20"/>
                <w:szCs w:val="20"/>
              </w:rPr>
              <w:t>RESUMEN</w:t>
            </w:r>
          </w:p>
        </w:tc>
      </w:tr>
      <w:tr w:rsidR="0041094F" w:rsidTr="00A61D5F">
        <w:trPr>
          <w:trHeight w:val="703"/>
        </w:trPr>
        <w:tc>
          <w:tcPr>
            <w:tcW w:w="2376" w:type="dxa"/>
            <w:vAlign w:val="center"/>
          </w:tcPr>
          <w:p w:rsidR="0041094F" w:rsidRPr="009F1352" w:rsidRDefault="0041094F" w:rsidP="00A61D5F">
            <w:pPr>
              <w:spacing w:line="276" w:lineRule="auto"/>
              <w:jc w:val="center"/>
              <w:rPr>
                <w:rFonts w:ascii="Arial" w:hAnsi="Arial" w:cs="Arial"/>
                <w:sz w:val="21"/>
                <w:szCs w:val="21"/>
              </w:rPr>
            </w:pPr>
          </w:p>
          <w:p w:rsidR="0041094F" w:rsidRPr="009F1352" w:rsidRDefault="0041094F" w:rsidP="00A61D5F">
            <w:pPr>
              <w:spacing w:line="276" w:lineRule="auto"/>
              <w:jc w:val="center"/>
              <w:rPr>
                <w:rFonts w:ascii="Arial" w:hAnsi="Arial" w:cs="Arial"/>
                <w:sz w:val="21"/>
                <w:szCs w:val="21"/>
              </w:rPr>
            </w:pPr>
            <w:r>
              <w:rPr>
                <w:rFonts w:ascii="Arial" w:hAnsi="Arial" w:cs="Arial"/>
                <w:sz w:val="21"/>
                <w:szCs w:val="21"/>
                <w:lang w:val="es-PE" w:eastAsia="en-US"/>
              </w:rPr>
              <w:t>Resolución Directoral  Nº 005-</w:t>
            </w:r>
            <w:r w:rsidRPr="00382BF7">
              <w:rPr>
                <w:rFonts w:ascii="Arial" w:hAnsi="Arial" w:cs="Arial"/>
                <w:sz w:val="21"/>
                <w:szCs w:val="21"/>
                <w:lang w:val="es-PE" w:eastAsia="en-US"/>
              </w:rPr>
              <w:t>2014</w:t>
            </w:r>
            <w:r>
              <w:rPr>
                <w:rFonts w:ascii="Arial" w:hAnsi="Arial" w:cs="Arial"/>
                <w:sz w:val="21"/>
                <w:szCs w:val="21"/>
                <w:lang w:val="es-PE" w:eastAsia="en-US"/>
              </w:rPr>
              <w:t>-EF/50.01</w:t>
            </w:r>
            <w:r w:rsidRPr="00382BF7">
              <w:rPr>
                <w:rFonts w:ascii="Arial" w:hAnsi="Arial" w:cs="Arial"/>
                <w:sz w:val="21"/>
                <w:szCs w:val="21"/>
              </w:rPr>
              <w:t xml:space="preserve"> </w:t>
            </w:r>
            <w:r w:rsidRPr="0064757E">
              <w:rPr>
                <w:rFonts w:ascii="Arial" w:hAnsi="Arial" w:cs="Arial"/>
                <w:sz w:val="21"/>
                <w:szCs w:val="21"/>
              </w:rPr>
              <w:t>(2</w:t>
            </w:r>
            <w:r w:rsidR="0064757E" w:rsidRPr="0064757E">
              <w:rPr>
                <w:rFonts w:ascii="Arial" w:hAnsi="Arial" w:cs="Arial"/>
                <w:sz w:val="21"/>
                <w:szCs w:val="21"/>
              </w:rPr>
              <w:t>7</w:t>
            </w:r>
            <w:r w:rsidRPr="0064757E">
              <w:rPr>
                <w:rFonts w:ascii="Arial" w:hAnsi="Arial" w:cs="Arial"/>
                <w:sz w:val="21"/>
                <w:szCs w:val="21"/>
              </w:rPr>
              <w:t>/02/2014)</w:t>
            </w:r>
          </w:p>
          <w:p w:rsidR="0041094F" w:rsidRPr="00B42549" w:rsidRDefault="0041094F" w:rsidP="00A61D5F">
            <w:pPr>
              <w:spacing w:line="276" w:lineRule="auto"/>
              <w:rPr>
                <w:rFonts w:ascii="Arial" w:hAnsi="Arial" w:cs="Arial"/>
                <w:b/>
                <w:sz w:val="21"/>
                <w:szCs w:val="21"/>
              </w:rPr>
            </w:pPr>
            <w:r w:rsidRPr="009F1352">
              <w:rPr>
                <w:rFonts w:ascii="Arial" w:hAnsi="Arial" w:cs="Arial"/>
                <w:b/>
                <w:sz w:val="21"/>
                <w:szCs w:val="21"/>
              </w:rPr>
              <w:t xml:space="preserve"> </w:t>
            </w:r>
          </w:p>
        </w:tc>
        <w:tc>
          <w:tcPr>
            <w:tcW w:w="3261" w:type="dxa"/>
            <w:vAlign w:val="center"/>
          </w:tcPr>
          <w:p w:rsidR="0041094F" w:rsidRPr="00920F22" w:rsidRDefault="0041094F" w:rsidP="0041094F">
            <w:pPr>
              <w:autoSpaceDE w:val="0"/>
              <w:autoSpaceDN w:val="0"/>
              <w:adjustRightInd w:val="0"/>
              <w:jc w:val="center"/>
              <w:rPr>
                <w:rFonts w:ascii="Arial" w:hAnsi="Arial" w:cs="Arial"/>
                <w:sz w:val="21"/>
                <w:szCs w:val="21"/>
                <w:lang w:val="es-PE" w:eastAsia="en-US"/>
              </w:rPr>
            </w:pPr>
            <w:r>
              <w:rPr>
                <w:rFonts w:ascii="Arial" w:hAnsi="Arial" w:cs="Arial"/>
                <w:sz w:val="21"/>
                <w:szCs w:val="21"/>
                <w:lang w:val="es-PE" w:eastAsia="en-US"/>
              </w:rPr>
              <w:t>Directiva para la Programación y Formulación Anual del Presupuesto del Sector Público, con una perspectiva de Programación Multianual</w:t>
            </w:r>
          </w:p>
        </w:tc>
        <w:tc>
          <w:tcPr>
            <w:tcW w:w="2268" w:type="dxa"/>
            <w:vAlign w:val="center"/>
          </w:tcPr>
          <w:p w:rsidR="0041094F" w:rsidRPr="009F1352" w:rsidRDefault="0041094F" w:rsidP="00A61D5F">
            <w:pPr>
              <w:spacing w:line="276" w:lineRule="auto"/>
              <w:jc w:val="center"/>
              <w:rPr>
                <w:rFonts w:ascii="Arial" w:hAnsi="Arial" w:cs="Arial"/>
                <w:sz w:val="21"/>
                <w:szCs w:val="21"/>
              </w:rPr>
            </w:pPr>
            <w:r>
              <w:rPr>
                <w:rFonts w:ascii="Arial" w:hAnsi="Arial" w:cs="Arial"/>
                <w:sz w:val="21"/>
                <w:szCs w:val="21"/>
              </w:rPr>
              <w:t>Ministerio de Economía y Finanzas</w:t>
            </w:r>
          </w:p>
        </w:tc>
        <w:tc>
          <w:tcPr>
            <w:tcW w:w="6313" w:type="dxa"/>
            <w:vAlign w:val="center"/>
          </w:tcPr>
          <w:p w:rsidR="0051701E" w:rsidRDefault="0051701E" w:rsidP="0051701E">
            <w:pPr>
              <w:pStyle w:val="Prrafodelista"/>
              <w:autoSpaceDE w:val="0"/>
              <w:autoSpaceDN w:val="0"/>
              <w:adjustRightInd w:val="0"/>
              <w:ind w:left="360"/>
              <w:jc w:val="both"/>
              <w:rPr>
                <w:rFonts w:ascii="Arial" w:hAnsi="Arial" w:cs="Arial"/>
                <w:sz w:val="21"/>
                <w:szCs w:val="21"/>
              </w:rPr>
            </w:pPr>
          </w:p>
          <w:p w:rsidR="0041094F" w:rsidRDefault="0041094F" w:rsidP="0051701E">
            <w:pPr>
              <w:pStyle w:val="Prrafodelista"/>
              <w:numPr>
                <w:ilvl w:val="0"/>
                <w:numId w:val="19"/>
              </w:numPr>
              <w:autoSpaceDE w:val="0"/>
              <w:autoSpaceDN w:val="0"/>
              <w:adjustRightInd w:val="0"/>
              <w:jc w:val="both"/>
              <w:rPr>
                <w:rFonts w:ascii="Arial" w:hAnsi="Arial" w:cs="Arial"/>
                <w:sz w:val="21"/>
                <w:szCs w:val="21"/>
              </w:rPr>
            </w:pPr>
            <w:r>
              <w:rPr>
                <w:rFonts w:ascii="Arial" w:hAnsi="Arial" w:cs="Arial"/>
                <w:sz w:val="21"/>
                <w:szCs w:val="21"/>
              </w:rPr>
              <w:t xml:space="preserve">Se </w:t>
            </w:r>
            <w:r w:rsidR="0051701E">
              <w:rPr>
                <w:rFonts w:ascii="Arial" w:hAnsi="Arial" w:cs="Arial"/>
                <w:sz w:val="21"/>
                <w:szCs w:val="21"/>
              </w:rPr>
              <w:t>aprueba la Directiva Nº 003-2014-EF/50.01 “Directiva para la Programación y Formulación Anual del Presupuesto del Sector Público, con una perspectiva de Programación Multianual”, que forma parte integrante de la presente Resolución.</w:t>
            </w:r>
          </w:p>
          <w:p w:rsidR="0051701E" w:rsidRDefault="0051701E" w:rsidP="0051701E">
            <w:pPr>
              <w:pStyle w:val="Prrafodelista"/>
              <w:autoSpaceDE w:val="0"/>
              <w:autoSpaceDN w:val="0"/>
              <w:adjustRightInd w:val="0"/>
              <w:ind w:left="360"/>
              <w:jc w:val="both"/>
              <w:rPr>
                <w:rFonts w:ascii="Arial" w:hAnsi="Arial" w:cs="Arial"/>
                <w:sz w:val="21"/>
                <w:szCs w:val="21"/>
              </w:rPr>
            </w:pPr>
          </w:p>
          <w:p w:rsidR="00B92D13" w:rsidRDefault="0051701E" w:rsidP="00B92D13">
            <w:pPr>
              <w:pStyle w:val="Prrafodelista"/>
              <w:numPr>
                <w:ilvl w:val="0"/>
                <w:numId w:val="19"/>
              </w:numPr>
              <w:autoSpaceDE w:val="0"/>
              <w:autoSpaceDN w:val="0"/>
              <w:adjustRightInd w:val="0"/>
              <w:jc w:val="both"/>
              <w:rPr>
                <w:rFonts w:ascii="Arial" w:hAnsi="Arial" w:cs="Arial"/>
                <w:sz w:val="21"/>
                <w:szCs w:val="21"/>
              </w:rPr>
            </w:pPr>
            <w:r>
              <w:rPr>
                <w:rFonts w:ascii="Arial" w:hAnsi="Arial" w:cs="Arial"/>
                <w:sz w:val="21"/>
                <w:szCs w:val="21"/>
              </w:rPr>
              <w:t>Se dispone que la citada Directiva, así como sus Anexos, Fichas y Formatos</w:t>
            </w:r>
            <w:r w:rsidR="00B92D13">
              <w:rPr>
                <w:rFonts w:ascii="Arial" w:hAnsi="Arial" w:cs="Arial"/>
                <w:sz w:val="21"/>
                <w:szCs w:val="21"/>
              </w:rPr>
              <w:t>, se publicarán</w:t>
            </w:r>
            <w:r>
              <w:rPr>
                <w:rFonts w:ascii="Arial" w:hAnsi="Arial" w:cs="Arial"/>
                <w:sz w:val="21"/>
                <w:szCs w:val="21"/>
              </w:rPr>
              <w:t xml:space="preserve"> en el portal institucional del Ministerio de Economía y Finanzas</w:t>
            </w:r>
            <w:r w:rsidR="005D59D4">
              <w:rPr>
                <w:rFonts w:ascii="Arial" w:hAnsi="Arial" w:cs="Arial"/>
                <w:sz w:val="21"/>
                <w:szCs w:val="21"/>
              </w:rPr>
              <w:t xml:space="preserve"> (</w:t>
            </w:r>
            <w:hyperlink r:id="rId6" w:history="1">
              <w:r w:rsidR="005D59D4" w:rsidRPr="005D59D4">
                <w:rPr>
                  <w:rStyle w:val="Hipervnculo"/>
                  <w:rFonts w:ascii="Arial" w:hAnsi="Arial" w:cs="Arial"/>
                  <w:sz w:val="21"/>
                  <w:szCs w:val="21"/>
                </w:rPr>
                <w:t>www.mef.gob.pe</w:t>
              </w:r>
            </w:hyperlink>
            <w:r w:rsidR="005D59D4">
              <w:rPr>
                <w:rFonts w:ascii="Arial" w:hAnsi="Arial" w:cs="Arial"/>
                <w:sz w:val="21"/>
                <w:szCs w:val="21"/>
              </w:rPr>
              <w:t>)</w:t>
            </w:r>
          </w:p>
          <w:p w:rsidR="00B92D13" w:rsidRPr="00B92D13" w:rsidRDefault="00B92D13" w:rsidP="00B92D13">
            <w:pPr>
              <w:pStyle w:val="Prrafodelista"/>
              <w:rPr>
                <w:rFonts w:ascii="Arial" w:hAnsi="Arial" w:cs="Arial"/>
                <w:sz w:val="21"/>
                <w:szCs w:val="21"/>
              </w:rPr>
            </w:pPr>
          </w:p>
          <w:p w:rsidR="00B92D13" w:rsidRDefault="00B92D13" w:rsidP="00B92D13">
            <w:pPr>
              <w:pStyle w:val="Prrafodelista"/>
              <w:numPr>
                <w:ilvl w:val="0"/>
                <w:numId w:val="19"/>
              </w:numPr>
              <w:autoSpaceDE w:val="0"/>
              <w:autoSpaceDN w:val="0"/>
              <w:adjustRightInd w:val="0"/>
              <w:jc w:val="both"/>
              <w:rPr>
                <w:rFonts w:ascii="Arial" w:hAnsi="Arial" w:cs="Arial"/>
                <w:sz w:val="21"/>
                <w:szCs w:val="21"/>
              </w:rPr>
            </w:pPr>
            <w:r>
              <w:rPr>
                <w:rFonts w:ascii="Arial" w:hAnsi="Arial" w:cs="Arial"/>
                <w:sz w:val="21"/>
                <w:szCs w:val="21"/>
              </w:rPr>
              <w:t>El objeto de la presente Directiva es establecer las disposiciones técnicas para que las entidades de</w:t>
            </w:r>
            <w:r w:rsidR="007F7E1A">
              <w:rPr>
                <w:rFonts w:ascii="Arial" w:hAnsi="Arial" w:cs="Arial"/>
                <w:sz w:val="21"/>
                <w:szCs w:val="21"/>
              </w:rPr>
              <w:t>l</w:t>
            </w:r>
            <w:r>
              <w:rPr>
                <w:rFonts w:ascii="Arial" w:hAnsi="Arial" w:cs="Arial"/>
                <w:sz w:val="21"/>
                <w:szCs w:val="21"/>
              </w:rPr>
              <w:t xml:space="preserve"> nivel de Gobierno Nacional, así como los Gobiernos Regional</w:t>
            </w:r>
            <w:r w:rsidR="007F7E1A">
              <w:rPr>
                <w:rFonts w:ascii="Arial" w:hAnsi="Arial" w:cs="Arial"/>
                <w:sz w:val="21"/>
                <w:szCs w:val="21"/>
              </w:rPr>
              <w:t>es</w:t>
            </w:r>
            <w:r>
              <w:rPr>
                <w:rFonts w:ascii="Arial" w:hAnsi="Arial" w:cs="Arial"/>
                <w:sz w:val="21"/>
                <w:szCs w:val="21"/>
              </w:rPr>
              <w:t xml:space="preserve"> y Gobiernos Locales, sus organismos públicos y empresas no financieras, programen y formulen sus presupuestos institucionales anuales con una perspectiva de programación multianual de los objetivos y metas institucionales y de los recursos necesarios para alcanzarlos.</w:t>
            </w:r>
          </w:p>
          <w:p w:rsidR="00A61D5F" w:rsidRPr="00A61D5F" w:rsidRDefault="00A61D5F" w:rsidP="00A61D5F">
            <w:pPr>
              <w:pStyle w:val="Prrafodelista"/>
              <w:rPr>
                <w:rFonts w:ascii="Arial" w:hAnsi="Arial" w:cs="Arial"/>
                <w:sz w:val="21"/>
                <w:szCs w:val="21"/>
              </w:rPr>
            </w:pPr>
          </w:p>
          <w:p w:rsidR="00A61D5F" w:rsidRDefault="00A61D5F" w:rsidP="00B92D13">
            <w:pPr>
              <w:pStyle w:val="Prrafodelista"/>
              <w:numPr>
                <w:ilvl w:val="0"/>
                <w:numId w:val="19"/>
              </w:numPr>
              <w:autoSpaceDE w:val="0"/>
              <w:autoSpaceDN w:val="0"/>
              <w:adjustRightInd w:val="0"/>
              <w:jc w:val="both"/>
              <w:rPr>
                <w:rFonts w:ascii="Arial" w:hAnsi="Arial" w:cs="Arial"/>
                <w:sz w:val="21"/>
                <w:szCs w:val="21"/>
              </w:rPr>
            </w:pPr>
            <w:r>
              <w:rPr>
                <w:rFonts w:ascii="Arial" w:hAnsi="Arial" w:cs="Arial"/>
                <w:sz w:val="21"/>
                <w:szCs w:val="21"/>
              </w:rPr>
              <w:t xml:space="preserve">Para efectos de elaborar la programación </w:t>
            </w:r>
            <w:r w:rsidR="001E251F">
              <w:rPr>
                <w:rFonts w:ascii="Arial" w:hAnsi="Arial" w:cs="Arial"/>
                <w:sz w:val="21"/>
                <w:szCs w:val="21"/>
              </w:rPr>
              <w:t>y formulación anual, con una perspectiva multianual, el Titular de la entidad</w:t>
            </w:r>
            <w:r w:rsidR="007F7E1A">
              <w:rPr>
                <w:rFonts w:ascii="Arial" w:hAnsi="Arial" w:cs="Arial"/>
                <w:sz w:val="21"/>
                <w:szCs w:val="21"/>
              </w:rPr>
              <w:t xml:space="preserve"> mediante resolución,</w:t>
            </w:r>
            <w:r w:rsidR="001E251F">
              <w:rPr>
                <w:rFonts w:ascii="Arial" w:hAnsi="Arial" w:cs="Arial"/>
                <w:sz w:val="21"/>
                <w:szCs w:val="21"/>
              </w:rPr>
              <w:t xml:space="preserve"> conformará una “Comisión de Programación y Formulación”, que se encargará de coordinar dichos procesos.</w:t>
            </w:r>
          </w:p>
          <w:p w:rsidR="001E251F" w:rsidRPr="001E251F" w:rsidRDefault="001E251F" w:rsidP="001E251F">
            <w:pPr>
              <w:pStyle w:val="Prrafodelista"/>
              <w:rPr>
                <w:rFonts w:ascii="Arial" w:hAnsi="Arial" w:cs="Arial"/>
                <w:sz w:val="21"/>
                <w:szCs w:val="21"/>
              </w:rPr>
            </w:pPr>
          </w:p>
          <w:p w:rsidR="004E5BC7" w:rsidRDefault="001E251F" w:rsidP="00B92D13">
            <w:pPr>
              <w:pStyle w:val="Prrafodelista"/>
              <w:numPr>
                <w:ilvl w:val="0"/>
                <w:numId w:val="19"/>
              </w:numPr>
              <w:autoSpaceDE w:val="0"/>
              <w:autoSpaceDN w:val="0"/>
              <w:adjustRightInd w:val="0"/>
              <w:jc w:val="both"/>
              <w:rPr>
                <w:rFonts w:ascii="Arial" w:hAnsi="Arial" w:cs="Arial"/>
                <w:sz w:val="21"/>
                <w:szCs w:val="21"/>
              </w:rPr>
            </w:pPr>
            <w:r>
              <w:rPr>
                <w:rFonts w:ascii="Arial" w:hAnsi="Arial" w:cs="Arial"/>
                <w:sz w:val="21"/>
                <w:szCs w:val="21"/>
              </w:rPr>
              <w:t xml:space="preserve">La mencionada Comisión será presidida por el Jefe de la Oficina de Planificación y Presupuesto de la entidad o el que haga sus veces </w:t>
            </w:r>
            <w:r w:rsidR="007F2D45">
              <w:rPr>
                <w:rFonts w:ascii="Arial" w:hAnsi="Arial" w:cs="Arial"/>
                <w:sz w:val="21"/>
                <w:szCs w:val="21"/>
              </w:rPr>
              <w:t>y estará</w:t>
            </w:r>
            <w:r>
              <w:rPr>
                <w:rFonts w:ascii="Arial" w:hAnsi="Arial" w:cs="Arial"/>
                <w:sz w:val="21"/>
                <w:szCs w:val="21"/>
              </w:rPr>
              <w:t xml:space="preserve"> integrada por los responsables técnicos y/o coordinadores de los equipos técnicos de los </w:t>
            </w:r>
            <w:r w:rsidR="00471384">
              <w:rPr>
                <w:rFonts w:ascii="Arial" w:hAnsi="Arial" w:cs="Arial"/>
                <w:sz w:val="21"/>
                <w:szCs w:val="21"/>
              </w:rPr>
              <w:t>programas presupuestales</w:t>
            </w:r>
            <w:r>
              <w:rPr>
                <w:rFonts w:ascii="Arial" w:hAnsi="Arial" w:cs="Arial"/>
                <w:sz w:val="21"/>
                <w:szCs w:val="21"/>
              </w:rPr>
              <w:t xml:space="preserve">, los Jefes de la Oficina General </w:t>
            </w:r>
            <w:r>
              <w:rPr>
                <w:rFonts w:ascii="Arial" w:hAnsi="Arial" w:cs="Arial"/>
                <w:sz w:val="21"/>
                <w:szCs w:val="21"/>
              </w:rPr>
              <w:lastRenderedPageBreak/>
              <w:t xml:space="preserve">de Administración, de Abastecimiento, de Personal, de Infraestructura, de la Oficina de Programación e Inversiones, así como de las Oficinas de </w:t>
            </w:r>
            <w:r w:rsidR="001546D4">
              <w:rPr>
                <w:rFonts w:ascii="Arial" w:hAnsi="Arial" w:cs="Arial"/>
                <w:sz w:val="21"/>
                <w:szCs w:val="21"/>
              </w:rPr>
              <w:t xml:space="preserve">Investigación, Seguimiento, Evaluación y/o Estadística, Unidades Formuladoras, o los que hagan sus veces, con la participación de  los representantes de las unidades ejecutoras, según corresponda. </w:t>
            </w:r>
          </w:p>
          <w:p w:rsidR="004E5BC7" w:rsidRPr="004E5BC7" w:rsidRDefault="004E5BC7" w:rsidP="004E5BC7">
            <w:pPr>
              <w:pStyle w:val="Prrafodelista"/>
              <w:rPr>
                <w:rFonts w:ascii="Arial" w:hAnsi="Arial" w:cs="Arial"/>
                <w:sz w:val="21"/>
                <w:szCs w:val="21"/>
              </w:rPr>
            </w:pPr>
          </w:p>
          <w:p w:rsidR="001E251F" w:rsidRDefault="001546D4" w:rsidP="004E5BC7">
            <w:pPr>
              <w:pStyle w:val="Prrafodelista"/>
              <w:autoSpaceDE w:val="0"/>
              <w:autoSpaceDN w:val="0"/>
              <w:adjustRightInd w:val="0"/>
              <w:ind w:left="360"/>
              <w:jc w:val="both"/>
              <w:rPr>
                <w:rFonts w:ascii="Arial" w:hAnsi="Arial" w:cs="Arial"/>
                <w:sz w:val="21"/>
                <w:szCs w:val="21"/>
              </w:rPr>
            </w:pPr>
            <w:r>
              <w:rPr>
                <w:rFonts w:ascii="Arial" w:hAnsi="Arial" w:cs="Arial"/>
                <w:sz w:val="21"/>
                <w:szCs w:val="21"/>
              </w:rPr>
              <w:t>Lo</w:t>
            </w:r>
            <w:r w:rsidR="004E5BC7">
              <w:rPr>
                <w:rFonts w:ascii="Arial" w:hAnsi="Arial" w:cs="Arial"/>
                <w:sz w:val="21"/>
                <w:szCs w:val="21"/>
              </w:rPr>
              <w:t>s integrantes de la Comisión serán</w:t>
            </w:r>
            <w:r>
              <w:rPr>
                <w:rFonts w:ascii="Arial" w:hAnsi="Arial" w:cs="Arial"/>
                <w:sz w:val="21"/>
                <w:szCs w:val="21"/>
              </w:rPr>
              <w:t xml:space="preserve"> responsables, en el ámbito de sus competencias, del resultado de los trabajos de dicha Comisión.</w:t>
            </w:r>
          </w:p>
          <w:p w:rsidR="004E5BC7" w:rsidRDefault="004E5BC7" w:rsidP="004E5BC7">
            <w:pPr>
              <w:pStyle w:val="Prrafodelista"/>
              <w:autoSpaceDE w:val="0"/>
              <w:autoSpaceDN w:val="0"/>
              <w:adjustRightInd w:val="0"/>
              <w:ind w:left="360"/>
              <w:jc w:val="both"/>
              <w:rPr>
                <w:rFonts w:ascii="Arial" w:hAnsi="Arial" w:cs="Arial"/>
                <w:sz w:val="21"/>
                <w:szCs w:val="21"/>
              </w:rPr>
            </w:pPr>
          </w:p>
          <w:p w:rsidR="004E5BC7" w:rsidRDefault="004E5BC7" w:rsidP="004E5BC7">
            <w:pPr>
              <w:pStyle w:val="Prrafodelista"/>
              <w:numPr>
                <w:ilvl w:val="0"/>
                <w:numId w:val="19"/>
              </w:numPr>
              <w:autoSpaceDE w:val="0"/>
              <w:autoSpaceDN w:val="0"/>
              <w:adjustRightInd w:val="0"/>
              <w:jc w:val="both"/>
              <w:rPr>
                <w:rFonts w:ascii="Arial" w:hAnsi="Arial" w:cs="Arial"/>
                <w:sz w:val="21"/>
                <w:szCs w:val="21"/>
              </w:rPr>
            </w:pPr>
            <w:r>
              <w:rPr>
                <w:rFonts w:ascii="Arial" w:hAnsi="Arial" w:cs="Arial"/>
                <w:sz w:val="21"/>
                <w:szCs w:val="21"/>
              </w:rPr>
              <w:t>La Comisión, bajo la supervisión del Titular de la Entidad, desarrollará</w:t>
            </w:r>
            <w:r w:rsidR="008956EE">
              <w:rPr>
                <w:rFonts w:ascii="Arial" w:hAnsi="Arial" w:cs="Arial"/>
                <w:sz w:val="21"/>
                <w:szCs w:val="21"/>
              </w:rPr>
              <w:t>, entre otros,</w:t>
            </w:r>
            <w:r>
              <w:rPr>
                <w:rFonts w:ascii="Arial" w:hAnsi="Arial" w:cs="Arial"/>
                <w:sz w:val="21"/>
                <w:szCs w:val="21"/>
              </w:rPr>
              <w:t xml:space="preserve"> los siguientes trabajos:</w:t>
            </w:r>
          </w:p>
          <w:p w:rsidR="004E5BC7" w:rsidRDefault="004E5BC7" w:rsidP="004E5BC7">
            <w:pPr>
              <w:pStyle w:val="Prrafodelista"/>
              <w:autoSpaceDE w:val="0"/>
              <w:autoSpaceDN w:val="0"/>
              <w:adjustRightInd w:val="0"/>
              <w:ind w:left="360"/>
              <w:jc w:val="both"/>
              <w:rPr>
                <w:rFonts w:ascii="Arial" w:hAnsi="Arial" w:cs="Arial"/>
                <w:sz w:val="21"/>
                <w:szCs w:val="21"/>
              </w:rPr>
            </w:pPr>
          </w:p>
          <w:p w:rsidR="004E5BC7" w:rsidRDefault="004E5BC7" w:rsidP="00471384">
            <w:pPr>
              <w:pStyle w:val="Prrafodelista"/>
              <w:numPr>
                <w:ilvl w:val="1"/>
                <w:numId w:val="19"/>
              </w:numPr>
              <w:autoSpaceDE w:val="0"/>
              <w:autoSpaceDN w:val="0"/>
              <w:adjustRightInd w:val="0"/>
              <w:ind w:left="884" w:hanging="284"/>
              <w:jc w:val="both"/>
              <w:rPr>
                <w:rFonts w:ascii="Arial" w:hAnsi="Arial" w:cs="Arial"/>
                <w:sz w:val="21"/>
                <w:szCs w:val="21"/>
              </w:rPr>
            </w:pPr>
            <w:r>
              <w:rPr>
                <w:rFonts w:ascii="Arial" w:hAnsi="Arial" w:cs="Arial"/>
                <w:sz w:val="21"/>
                <w:szCs w:val="21"/>
              </w:rPr>
              <w:t>Revisar la información sobre los resultados logrados por la entidad</w:t>
            </w:r>
            <w:r w:rsidR="008956EE">
              <w:rPr>
                <w:rFonts w:ascii="Arial" w:hAnsi="Arial" w:cs="Arial"/>
                <w:sz w:val="21"/>
                <w:szCs w:val="21"/>
              </w:rPr>
              <w:t>, así como los costos para alcanzarlos, en los años fiscales anteriores.</w:t>
            </w:r>
          </w:p>
          <w:p w:rsidR="008956EE" w:rsidRDefault="008956EE" w:rsidP="00471384">
            <w:pPr>
              <w:pStyle w:val="Prrafodelista"/>
              <w:numPr>
                <w:ilvl w:val="1"/>
                <w:numId w:val="19"/>
              </w:numPr>
              <w:autoSpaceDE w:val="0"/>
              <w:autoSpaceDN w:val="0"/>
              <w:adjustRightInd w:val="0"/>
              <w:ind w:left="884" w:hanging="284"/>
              <w:jc w:val="both"/>
              <w:rPr>
                <w:rFonts w:ascii="Arial" w:hAnsi="Arial" w:cs="Arial"/>
                <w:sz w:val="21"/>
                <w:szCs w:val="21"/>
              </w:rPr>
            </w:pPr>
            <w:r>
              <w:rPr>
                <w:rFonts w:ascii="Arial" w:hAnsi="Arial" w:cs="Arial"/>
                <w:sz w:val="21"/>
                <w:szCs w:val="21"/>
              </w:rPr>
              <w:t>Revisar y priorizar los objetivos de la entidad, guardando consistencia con las políticas sectoriales y nacionales, según corresponda.</w:t>
            </w:r>
          </w:p>
          <w:p w:rsidR="008956EE" w:rsidRDefault="008956EE" w:rsidP="00471384">
            <w:pPr>
              <w:pStyle w:val="Prrafodelista"/>
              <w:numPr>
                <w:ilvl w:val="1"/>
                <w:numId w:val="19"/>
              </w:numPr>
              <w:autoSpaceDE w:val="0"/>
              <w:autoSpaceDN w:val="0"/>
              <w:adjustRightInd w:val="0"/>
              <w:ind w:left="884" w:hanging="284"/>
              <w:jc w:val="both"/>
              <w:rPr>
                <w:rFonts w:ascii="Arial" w:hAnsi="Arial" w:cs="Arial"/>
                <w:sz w:val="21"/>
                <w:szCs w:val="21"/>
              </w:rPr>
            </w:pPr>
            <w:r>
              <w:rPr>
                <w:rFonts w:ascii="Arial" w:hAnsi="Arial" w:cs="Arial"/>
                <w:sz w:val="21"/>
                <w:szCs w:val="21"/>
              </w:rPr>
              <w:t xml:space="preserve">Determinar las metas a nivel de </w:t>
            </w:r>
            <w:r w:rsidR="00471384">
              <w:rPr>
                <w:rFonts w:ascii="Arial" w:hAnsi="Arial" w:cs="Arial"/>
                <w:sz w:val="21"/>
                <w:szCs w:val="21"/>
              </w:rPr>
              <w:t>programas presupuestales</w:t>
            </w:r>
            <w:r>
              <w:rPr>
                <w:rFonts w:ascii="Arial" w:hAnsi="Arial" w:cs="Arial"/>
                <w:sz w:val="21"/>
                <w:szCs w:val="21"/>
              </w:rPr>
              <w:t>, productos y otras de carácter relevante que proponen cumplir para los años de programación multianual</w:t>
            </w:r>
            <w:r w:rsidR="002D1F10">
              <w:rPr>
                <w:rFonts w:ascii="Arial" w:hAnsi="Arial" w:cs="Arial"/>
                <w:sz w:val="21"/>
                <w:szCs w:val="21"/>
              </w:rPr>
              <w:t>.</w:t>
            </w:r>
          </w:p>
          <w:p w:rsidR="002D1F10" w:rsidRDefault="002D1F10" w:rsidP="00471384">
            <w:pPr>
              <w:pStyle w:val="Prrafodelista"/>
              <w:numPr>
                <w:ilvl w:val="1"/>
                <w:numId w:val="19"/>
              </w:numPr>
              <w:autoSpaceDE w:val="0"/>
              <w:autoSpaceDN w:val="0"/>
              <w:adjustRightInd w:val="0"/>
              <w:ind w:left="884" w:hanging="284"/>
              <w:jc w:val="both"/>
              <w:rPr>
                <w:rFonts w:ascii="Arial" w:hAnsi="Arial" w:cs="Arial"/>
                <w:sz w:val="21"/>
                <w:szCs w:val="21"/>
              </w:rPr>
            </w:pPr>
            <w:r>
              <w:rPr>
                <w:rFonts w:ascii="Arial" w:hAnsi="Arial" w:cs="Arial"/>
                <w:sz w:val="21"/>
                <w:szCs w:val="21"/>
              </w:rPr>
              <w:t>Evaluar si la capacidad institucional es capaz de brindar la producción de los bienes y servicios para el logro de las metas pr</w:t>
            </w:r>
            <w:r w:rsidR="00185D12">
              <w:rPr>
                <w:rFonts w:ascii="Arial" w:hAnsi="Arial" w:cs="Arial"/>
                <w:sz w:val="21"/>
                <w:szCs w:val="21"/>
              </w:rPr>
              <w:t>oyectadas para los años futuros, y de no ser así, determinar los ca</w:t>
            </w:r>
            <w:r w:rsidR="007F7E1A">
              <w:rPr>
                <w:rFonts w:ascii="Arial" w:hAnsi="Arial" w:cs="Arial"/>
                <w:sz w:val="21"/>
                <w:szCs w:val="21"/>
              </w:rPr>
              <w:t>mbios que deberán implementarse, su período de realización y la estimación de los costos que ellos impliquen.</w:t>
            </w:r>
          </w:p>
          <w:p w:rsidR="00185D12" w:rsidRDefault="00185D12" w:rsidP="00471384">
            <w:pPr>
              <w:pStyle w:val="Prrafodelista"/>
              <w:numPr>
                <w:ilvl w:val="1"/>
                <w:numId w:val="19"/>
              </w:numPr>
              <w:autoSpaceDE w:val="0"/>
              <w:autoSpaceDN w:val="0"/>
              <w:adjustRightInd w:val="0"/>
              <w:ind w:left="884" w:hanging="284"/>
              <w:jc w:val="both"/>
              <w:rPr>
                <w:rFonts w:ascii="Arial" w:hAnsi="Arial" w:cs="Arial"/>
                <w:sz w:val="21"/>
                <w:szCs w:val="21"/>
              </w:rPr>
            </w:pPr>
            <w:r>
              <w:rPr>
                <w:rFonts w:ascii="Arial" w:hAnsi="Arial" w:cs="Arial"/>
                <w:sz w:val="21"/>
                <w:szCs w:val="21"/>
              </w:rPr>
              <w:t xml:space="preserve">Priorizar los </w:t>
            </w:r>
            <w:r w:rsidR="00471384">
              <w:rPr>
                <w:rFonts w:ascii="Arial" w:hAnsi="Arial" w:cs="Arial"/>
                <w:sz w:val="21"/>
                <w:szCs w:val="21"/>
              </w:rPr>
              <w:t>programas presupuestales</w:t>
            </w:r>
            <w:r>
              <w:rPr>
                <w:rFonts w:ascii="Arial" w:hAnsi="Arial" w:cs="Arial"/>
                <w:sz w:val="21"/>
                <w:szCs w:val="21"/>
              </w:rPr>
              <w:t xml:space="preserve"> y/o productos, según corresponda, en función de la información sobre resultados, costos y las prioridades de política sec</w:t>
            </w:r>
            <w:r w:rsidR="00CD09D9">
              <w:rPr>
                <w:rFonts w:ascii="Arial" w:hAnsi="Arial" w:cs="Arial"/>
                <w:sz w:val="21"/>
                <w:szCs w:val="21"/>
              </w:rPr>
              <w:t xml:space="preserve">torial y nacional, sobre la base de los resultados de la Comisión de los </w:t>
            </w:r>
            <w:r w:rsidR="00471384">
              <w:rPr>
                <w:rFonts w:ascii="Arial" w:hAnsi="Arial" w:cs="Arial"/>
                <w:sz w:val="21"/>
                <w:szCs w:val="21"/>
              </w:rPr>
              <w:t>programas presupuestales.</w:t>
            </w:r>
          </w:p>
          <w:p w:rsidR="006C249B" w:rsidRDefault="006C249B" w:rsidP="006C249B">
            <w:pPr>
              <w:autoSpaceDE w:val="0"/>
              <w:autoSpaceDN w:val="0"/>
              <w:adjustRightInd w:val="0"/>
              <w:jc w:val="both"/>
              <w:rPr>
                <w:rFonts w:ascii="Arial" w:hAnsi="Arial" w:cs="Arial"/>
                <w:sz w:val="21"/>
                <w:szCs w:val="21"/>
              </w:rPr>
            </w:pPr>
          </w:p>
          <w:p w:rsidR="006C249B" w:rsidRPr="00657A63" w:rsidRDefault="006C249B" w:rsidP="006C249B">
            <w:pPr>
              <w:pStyle w:val="Prrafodelista"/>
              <w:numPr>
                <w:ilvl w:val="0"/>
                <w:numId w:val="19"/>
              </w:numPr>
              <w:autoSpaceDE w:val="0"/>
              <w:autoSpaceDN w:val="0"/>
              <w:adjustRightInd w:val="0"/>
              <w:jc w:val="both"/>
              <w:rPr>
                <w:rFonts w:ascii="Arial" w:hAnsi="Arial" w:cs="Arial"/>
                <w:b/>
                <w:sz w:val="21"/>
                <w:szCs w:val="21"/>
              </w:rPr>
            </w:pPr>
            <w:r>
              <w:rPr>
                <w:rFonts w:ascii="Arial" w:hAnsi="Arial" w:cs="Arial"/>
                <w:sz w:val="21"/>
                <w:szCs w:val="21"/>
              </w:rPr>
              <w:t xml:space="preserve">La Comisión culminará sus trabajos con la presentación de la información de programación y formulación anual que realiza la entidad a la Dirección General de Presupuesto Público, </w:t>
            </w:r>
            <w:r w:rsidRPr="00657A63">
              <w:rPr>
                <w:rFonts w:ascii="Arial" w:hAnsi="Arial" w:cs="Arial"/>
                <w:b/>
                <w:sz w:val="21"/>
                <w:szCs w:val="21"/>
              </w:rPr>
              <w:lastRenderedPageBreak/>
              <w:t>conforme a los plazos establecidos en el Anexo Nº 2 de la presente Directiva.</w:t>
            </w:r>
          </w:p>
          <w:p w:rsidR="00DD3F46" w:rsidRPr="00225927" w:rsidRDefault="00DD3F46" w:rsidP="00225927">
            <w:pPr>
              <w:rPr>
                <w:rFonts w:ascii="Arial" w:hAnsi="Arial" w:cs="Arial"/>
                <w:sz w:val="21"/>
                <w:szCs w:val="21"/>
              </w:rPr>
            </w:pPr>
          </w:p>
          <w:p w:rsidR="00DD3F46" w:rsidRDefault="00DD3F46" w:rsidP="006C249B">
            <w:pPr>
              <w:pStyle w:val="Prrafodelista"/>
              <w:numPr>
                <w:ilvl w:val="0"/>
                <w:numId w:val="19"/>
              </w:numPr>
              <w:autoSpaceDE w:val="0"/>
              <w:autoSpaceDN w:val="0"/>
              <w:adjustRightInd w:val="0"/>
              <w:jc w:val="both"/>
              <w:rPr>
                <w:rFonts w:ascii="Arial" w:hAnsi="Arial" w:cs="Arial"/>
                <w:sz w:val="21"/>
                <w:szCs w:val="21"/>
              </w:rPr>
            </w:pPr>
            <w:r>
              <w:rPr>
                <w:rFonts w:ascii="Arial" w:hAnsi="Arial" w:cs="Arial"/>
                <w:sz w:val="21"/>
                <w:szCs w:val="21"/>
              </w:rPr>
              <w:t>La programación multianual del gasto público, no implica en ningún caso el compromiso definitivo de los recursos estimados, toda vez que dicha programación constituye un ejercicio de carácter referencial, que deberá ser ajustada en la programación y formulación anual.</w:t>
            </w:r>
          </w:p>
          <w:p w:rsidR="00225927" w:rsidRPr="00225927" w:rsidRDefault="00225927" w:rsidP="00225927">
            <w:pPr>
              <w:pStyle w:val="Prrafodelista"/>
              <w:rPr>
                <w:rFonts w:ascii="Arial" w:hAnsi="Arial" w:cs="Arial"/>
                <w:sz w:val="21"/>
                <w:szCs w:val="21"/>
              </w:rPr>
            </w:pPr>
          </w:p>
          <w:p w:rsidR="00225927" w:rsidRDefault="00225927" w:rsidP="006C249B">
            <w:pPr>
              <w:pStyle w:val="Prrafodelista"/>
              <w:numPr>
                <w:ilvl w:val="0"/>
                <w:numId w:val="19"/>
              </w:numPr>
              <w:autoSpaceDE w:val="0"/>
              <w:autoSpaceDN w:val="0"/>
              <w:adjustRightInd w:val="0"/>
              <w:jc w:val="both"/>
              <w:rPr>
                <w:rFonts w:ascii="Arial" w:hAnsi="Arial" w:cs="Arial"/>
                <w:sz w:val="21"/>
                <w:szCs w:val="21"/>
              </w:rPr>
            </w:pPr>
            <w:r>
              <w:rPr>
                <w:rFonts w:ascii="Arial" w:hAnsi="Arial" w:cs="Arial"/>
                <w:sz w:val="21"/>
                <w:szCs w:val="21"/>
              </w:rPr>
              <w:t>Para efecto de las labores de programación multianual y formulación presupuestaria anual, las entidades</w:t>
            </w:r>
            <w:r w:rsidR="007F7E1A">
              <w:rPr>
                <w:rFonts w:ascii="Arial" w:hAnsi="Arial" w:cs="Arial"/>
                <w:sz w:val="21"/>
                <w:szCs w:val="21"/>
              </w:rPr>
              <w:t xml:space="preserve"> del Gobierno Nacional, Gobiernos Regionales y Gobiernos Locales</w:t>
            </w:r>
            <w:r>
              <w:rPr>
                <w:rFonts w:ascii="Arial" w:hAnsi="Arial" w:cs="Arial"/>
                <w:sz w:val="21"/>
                <w:szCs w:val="21"/>
              </w:rPr>
              <w:t xml:space="preserve"> utilizarán los Aplicativos Informáticos que le correspondan.</w:t>
            </w:r>
          </w:p>
          <w:p w:rsidR="00225927" w:rsidRPr="00225927" w:rsidRDefault="00225927" w:rsidP="00225927">
            <w:pPr>
              <w:pStyle w:val="Prrafodelista"/>
              <w:rPr>
                <w:rFonts w:ascii="Arial" w:hAnsi="Arial" w:cs="Arial"/>
                <w:sz w:val="21"/>
                <w:szCs w:val="21"/>
              </w:rPr>
            </w:pPr>
          </w:p>
          <w:p w:rsidR="00225927" w:rsidRDefault="00225927" w:rsidP="006C249B">
            <w:pPr>
              <w:pStyle w:val="Prrafodelista"/>
              <w:numPr>
                <w:ilvl w:val="0"/>
                <w:numId w:val="19"/>
              </w:numPr>
              <w:autoSpaceDE w:val="0"/>
              <w:autoSpaceDN w:val="0"/>
              <w:adjustRightInd w:val="0"/>
              <w:jc w:val="both"/>
              <w:rPr>
                <w:rFonts w:ascii="Arial" w:hAnsi="Arial" w:cs="Arial"/>
                <w:sz w:val="21"/>
                <w:szCs w:val="21"/>
              </w:rPr>
            </w:pPr>
            <w:r>
              <w:rPr>
                <w:rFonts w:ascii="Arial" w:hAnsi="Arial" w:cs="Arial"/>
                <w:sz w:val="21"/>
                <w:szCs w:val="21"/>
              </w:rPr>
              <w:t xml:space="preserve">Los requerimientos de códigos adicionales a los contemplados en el Clasificador de Ingresos y Gastos, el Clasificador Programático, Actividades, Acciones de Inversión y/u Obras y las unidades de medida, son solicitados previamente </w:t>
            </w:r>
            <w:r w:rsidR="007F7E1A">
              <w:rPr>
                <w:rFonts w:ascii="Arial" w:hAnsi="Arial" w:cs="Arial"/>
                <w:sz w:val="21"/>
                <w:szCs w:val="21"/>
              </w:rPr>
              <w:t>por</w:t>
            </w:r>
            <w:r>
              <w:rPr>
                <w:rFonts w:ascii="Arial" w:hAnsi="Arial" w:cs="Arial"/>
                <w:sz w:val="21"/>
                <w:szCs w:val="21"/>
              </w:rPr>
              <w:t xml:space="preserve"> la Oficina de Presupuesto</w:t>
            </w:r>
            <w:r w:rsidR="007F7E1A">
              <w:rPr>
                <w:rFonts w:ascii="Arial" w:hAnsi="Arial" w:cs="Arial"/>
                <w:sz w:val="21"/>
                <w:szCs w:val="21"/>
              </w:rPr>
              <w:t xml:space="preserve"> o la que haga sus veces en el Pliego</w:t>
            </w:r>
            <w:r>
              <w:rPr>
                <w:rFonts w:ascii="Arial" w:hAnsi="Arial" w:cs="Arial"/>
                <w:sz w:val="21"/>
                <w:szCs w:val="21"/>
              </w:rPr>
              <w:t>, autorizados por la Dirección General de Presupuesto Público, según corresponda.</w:t>
            </w:r>
          </w:p>
          <w:p w:rsidR="00225927" w:rsidRPr="00225927" w:rsidRDefault="00225927" w:rsidP="00225927">
            <w:pPr>
              <w:pStyle w:val="Prrafodelista"/>
              <w:rPr>
                <w:rFonts w:ascii="Arial" w:hAnsi="Arial" w:cs="Arial"/>
                <w:sz w:val="21"/>
                <w:szCs w:val="21"/>
              </w:rPr>
            </w:pPr>
          </w:p>
          <w:p w:rsidR="00225927" w:rsidRDefault="00225927" w:rsidP="006C249B">
            <w:pPr>
              <w:pStyle w:val="Prrafodelista"/>
              <w:numPr>
                <w:ilvl w:val="0"/>
                <w:numId w:val="19"/>
              </w:numPr>
              <w:autoSpaceDE w:val="0"/>
              <w:autoSpaceDN w:val="0"/>
              <w:adjustRightInd w:val="0"/>
              <w:jc w:val="both"/>
              <w:rPr>
                <w:rFonts w:ascii="Arial" w:hAnsi="Arial" w:cs="Arial"/>
                <w:sz w:val="21"/>
                <w:szCs w:val="21"/>
              </w:rPr>
            </w:pPr>
            <w:r>
              <w:rPr>
                <w:rFonts w:ascii="Arial" w:hAnsi="Arial" w:cs="Arial"/>
                <w:sz w:val="21"/>
                <w:szCs w:val="21"/>
              </w:rPr>
              <w:t xml:space="preserve">Todos los documentos que se presenten por efecto de la presente Directiva ante la Dirección General de Presupuesto Público, tienen el carácter de Declaración Jurada y se sujetan a las responsabilidades y consecuencias legales correspondientes. </w:t>
            </w:r>
          </w:p>
          <w:p w:rsidR="00225927" w:rsidRPr="00225927" w:rsidRDefault="00225927" w:rsidP="00225927">
            <w:pPr>
              <w:pStyle w:val="Prrafodelista"/>
              <w:rPr>
                <w:rFonts w:ascii="Arial" w:hAnsi="Arial" w:cs="Arial"/>
                <w:sz w:val="21"/>
                <w:szCs w:val="21"/>
              </w:rPr>
            </w:pPr>
          </w:p>
          <w:p w:rsidR="00225927" w:rsidRDefault="00916FBA" w:rsidP="006C249B">
            <w:pPr>
              <w:pStyle w:val="Prrafodelista"/>
              <w:numPr>
                <w:ilvl w:val="0"/>
                <w:numId w:val="19"/>
              </w:numPr>
              <w:autoSpaceDE w:val="0"/>
              <w:autoSpaceDN w:val="0"/>
              <w:adjustRightInd w:val="0"/>
              <w:jc w:val="both"/>
              <w:rPr>
                <w:rFonts w:ascii="Arial" w:hAnsi="Arial" w:cs="Arial"/>
                <w:sz w:val="21"/>
                <w:szCs w:val="21"/>
              </w:rPr>
            </w:pPr>
            <w:r>
              <w:rPr>
                <w:rFonts w:ascii="Arial" w:hAnsi="Arial" w:cs="Arial"/>
                <w:sz w:val="21"/>
                <w:szCs w:val="21"/>
              </w:rPr>
              <w:t xml:space="preserve">Los </w:t>
            </w:r>
            <w:r w:rsidR="00225927">
              <w:rPr>
                <w:rFonts w:ascii="Arial" w:hAnsi="Arial" w:cs="Arial"/>
                <w:sz w:val="21"/>
                <w:szCs w:val="21"/>
              </w:rPr>
              <w:t xml:space="preserve">pliegos </w:t>
            </w:r>
            <w:r>
              <w:rPr>
                <w:rFonts w:ascii="Arial" w:hAnsi="Arial" w:cs="Arial"/>
                <w:sz w:val="21"/>
                <w:szCs w:val="21"/>
              </w:rPr>
              <w:t>considerarán</w:t>
            </w:r>
            <w:r w:rsidR="00225927">
              <w:rPr>
                <w:rFonts w:ascii="Arial" w:hAnsi="Arial" w:cs="Arial"/>
                <w:sz w:val="21"/>
                <w:szCs w:val="21"/>
              </w:rPr>
              <w:t xml:space="preserve"> en la programación y priorización de sus gastos la identificación de las principales brechas de género como un criterio para determinar la asignación de los recursos para el cumplimiento de sus objetivos institucionales.</w:t>
            </w:r>
          </w:p>
          <w:p w:rsidR="00916FBA" w:rsidRPr="00916FBA" w:rsidRDefault="00916FBA" w:rsidP="00916FBA">
            <w:pPr>
              <w:pStyle w:val="Prrafodelista"/>
              <w:rPr>
                <w:rFonts w:ascii="Arial" w:hAnsi="Arial" w:cs="Arial"/>
                <w:sz w:val="21"/>
                <w:szCs w:val="21"/>
              </w:rPr>
            </w:pPr>
          </w:p>
          <w:p w:rsidR="00916FBA" w:rsidRDefault="00916FBA" w:rsidP="006C249B">
            <w:pPr>
              <w:pStyle w:val="Prrafodelista"/>
              <w:numPr>
                <w:ilvl w:val="0"/>
                <w:numId w:val="19"/>
              </w:numPr>
              <w:autoSpaceDE w:val="0"/>
              <w:autoSpaceDN w:val="0"/>
              <w:adjustRightInd w:val="0"/>
              <w:jc w:val="both"/>
              <w:rPr>
                <w:rFonts w:ascii="Arial" w:hAnsi="Arial" w:cs="Arial"/>
                <w:sz w:val="21"/>
                <w:szCs w:val="21"/>
              </w:rPr>
            </w:pPr>
            <w:r>
              <w:rPr>
                <w:rFonts w:ascii="Arial" w:hAnsi="Arial" w:cs="Arial"/>
                <w:sz w:val="21"/>
                <w:szCs w:val="21"/>
              </w:rPr>
              <w:t>Los pliegos consideran en sus gastos el desarrollo de acciones en gestión del riesgo de desastre como un criterio que permita determinar la asignación de recursos, con el objetivo de reducir la vulnerabilidad y responder oportunamente ante la ocurrencia de diversas amenazas.</w:t>
            </w:r>
          </w:p>
          <w:p w:rsidR="002D1A74" w:rsidRPr="002D1A74" w:rsidRDefault="002D1A74" w:rsidP="002D1A74">
            <w:pPr>
              <w:pStyle w:val="Prrafodelista"/>
              <w:rPr>
                <w:rFonts w:ascii="Arial" w:hAnsi="Arial" w:cs="Arial"/>
                <w:sz w:val="21"/>
                <w:szCs w:val="21"/>
              </w:rPr>
            </w:pPr>
          </w:p>
          <w:p w:rsidR="002D1A74" w:rsidRPr="002D1A74" w:rsidRDefault="002D1A74" w:rsidP="008C4CC2">
            <w:pPr>
              <w:pStyle w:val="Prrafodelista"/>
              <w:numPr>
                <w:ilvl w:val="0"/>
                <w:numId w:val="19"/>
              </w:numPr>
              <w:spacing w:after="200" w:line="276" w:lineRule="auto"/>
              <w:jc w:val="both"/>
              <w:rPr>
                <w:rFonts w:ascii="Arial" w:hAnsi="Arial" w:cs="Arial"/>
                <w:sz w:val="21"/>
                <w:szCs w:val="21"/>
              </w:rPr>
            </w:pPr>
            <w:r>
              <w:rPr>
                <w:rFonts w:ascii="Arial" w:hAnsi="Arial" w:cs="Arial"/>
                <w:sz w:val="21"/>
                <w:szCs w:val="21"/>
              </w:rPr>
              <w:t xml:space="preserve">Las consultas respecto a la programación multianual y a la programación y formulación anual que no puedan ser absueltas por la Oficina de Presupuesto o la que haga sus veces, podrán trasladarse a la Dirección General de Presupuesto Público, por lo que se pueden encontrar los correos electrónicos disponibles para tal efecto </w:t>
            </w:r>
            <w:r w:rsidRPr="002D1A74">
              <w:rPr>
                <w:rFonts w:ascii="Arial" w:hAnsi="Arial" w:cs="Arial"/>
                <w:sz w:val="21"/>
                <w:szCs w:val="21"/>
              </w:rPr>
              <w:t xml:space="preserve">a través del link </w:t>
            </w:r>
            <w:hyperlink r:id="rId7" w:history="1">
              <w:r w:rsidRPr="002D1A74">
                <w:rPr>
                  <w:rStyle w:val="Hipervnculo"/>
                  <w:rFonts w:ascii="Arial" w:hAnsi="Arial" w:cs="Arial"/>
                  <w:sz w:val="21"/>
                  <w:szCs w:val="21"/>
                </w:rPr>
                <w:t>www.elperuano.com.pe/edicion/</w:t>
              </w:r>
            </w:hyperlink>
            <w:r>
              <w:rPr>
                <w:rFonts w:ascii="Arial" w:hAnsi="Arial" w:cs="Arial"/>
                <w:sz w:val="21"/>
                <w:szCs w:val="21"/>
              </w:rPr>
              <w:t xml:space="preserve"> </w:t>
            </w:r>
            <w:r w:rsidRPr="002D1A74">
              <w:rPr>
                <w:rFonts w:ascii="Arial" w:hAnsi="Arial" w:cs="Arial"/>
                <w:sz w:val="21"/>
                <w:szCs w:val="21"/>
              </w:rPr>
              <w:t>o en la edición impresa del Diario Oficial El Peruano.</w:t>
            </w:r>
          </w:p>
          <w:p w:rsidR="000011BD" w:rsidRPr="002D1A74" w:rsidRDefault="000011BD" w:rsidP="002D1A74">
            <w:pPr>
              <w:pStyle w:val="Prrafodelista"/>
              <w:autoSpaceDE w:val="0"/>
              <w:autoSpaceDN w:val="0"/>
              <w:adjustRightInd w:val="0"/>
              <w:ind w:left="360"/>
              <w:jc w:val="both"/>
              <w:rPr>
                <w:rFonts w:ascii="Arial" w:hAnsi="Arial" w:cs="Arial"/>
                <w:sz w:val="21"/>
                <w:szCs w:val="21"/>
              </w:rPr>
            </w:pPr>
          </w:p>
          <w:p w:rsidR="0051701E" w:rsidRPr="000011BD" w:rsidRDefault="000011BD" w:rsidP="00D00A84">
            <w:pPr>
              <w:spacing w:after="200" w:line="276" w:lineRule="auto"/>
              <w:ind w:left="360"/>
              <w:jc w:val="both"/>
              <w:rPr>
                <w:rFonts w:ascii="Arial" w:hAnsi="Arial" w:cs="Arial"/>
                <w:sz w:val="20"/>
                <w:szCs w:val="20"/>
                <w:lang w:eastAsia="es-PE"/>
              </w:rPr>
            </w:pPr>
            <w:r w:rsidRPr="000011BD">
              <w:rPr>
                <w:rFonts w:ascii="Calibri" w:hAnsi="Calibri"/>
                <w:sz w:val="16"/>
                <w:szCs w:val="16"/>
                <w:lang w:eastAsia="es-PE"/>
              </w:rPr>
              <w:t>Nota: A la fecha de elaboración del presente reporte, aún no se había publicado l</w:t>
            </w:r>
            <w:r>
              <w:rPr>
                <w:rFonts w:ascii="Calibri" w:hAnsi="Calibri"/>
                <w:sz w:val="16"/>
                <w:szCs w:val="16"/>
                <w:lang w:eastAsia="es-PE"/>
              </w:rPr>
              <w:t>a presente norma en el portal</w:t>
            </w:r>
            <w:r w:rsidRPr="000011BD">
              <w:rPr>
                <w:rFonts w:ascii="Calibri" w:hAnsi="Calibri"/>
                <w:sz w:val="16"/>
                <w:szCs w:val="16"/>
                <w:lang w:eastAsia="es-PE"/>
              </w:rPr>
              <w:t xml:space="preserve"> electrónico </w:t>
            </w:r>
            <w:r w:rsidR="00D00A84">
              <w:rPr>
                <w:rFonts w:ascii="Calibri" w:hAnsi="Calibri"/>
                <w:sz w:val="16"/>
                <w:szCs w:val="16"/>
                <w:lang w:eastAsia="es-PE"/>
              </w:rPr>
              <w:t>del Ministerio de Economía y Finanzas</w:t>
            </w:r>
            <w:r>
              <w:rPr>
                <w:rFonts w:ascii="Calibri" w:hAnsi="Calibri"/>
                <w:sz w:val="16"/>
                <w:szCs w:val="16"/>
                <w:lang w:eastAsia="es-PE"/>
              </w:rPr>
              <w:t>.</w:t>
            </w:r>
          </w:p>
        </w:tc>
      </w:tr>
    </w:tbl>
    <w:p w:rsidR="0041094F" w:rsidRPr="00485C0F" w:rsidRDefault="0041094F" w:rsidP="00920F22">
      <w:pPr>
        <w:spacing w:line="276" w:lineRule="auto"/>
        <w:rPr>
          <w:rFonts w:ascii="Arial" w:eastAsia="Calibri" w:hAnsi="Arial" w:cs="Arial"/>
          <w:color w:val="0C0C0C"/>
          <w:sz w:val="21"/>
          <w:szCs w:val="21"/>
          <w:lang w:eastAsia="es-PE"/>
        </w:rPr>
      </w:pPr>
    </w:p>
    <w:sectPr w:rsidR="0041094F" w:rsidRPr="00485C0F" w:rsidSect="002E43BC">
      <w:pgSz w:w="16838" w:h="11906" w:orient="landscape"/>
      <w:pgMar w:top="1276"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8FD"/>
    <w:multiLevelType w:val="hybridMultilevel"/>
    <w:tmpl w:val="1B2E096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094B2FE4"/>
    <w:multiLevelType w:val="hybridMultilevel"/>
    <w:tmpl w:val="D36EDEBE"/>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B707CE7"/>
    <w:multiLevelType w:val="hybridMultilevel"/>
    <w:tmpl w:val="FF4C9418"/>
    <w:lvl w:ilvl="0" w:tplc="E79AA426">
      <w:numFmt w:val="bullet"/>
      <w:lvlText w:val="-"/>
      <w:lvlJc w:val="left"/>
      <w:pPr>
        <w:ind w:left="360" w:hanging="360"/>
      </w:pPr>
      <w:rPr>
        <w:rFonts w:ascii="Arial" w:eastAsia="Times New Roman" w:hAnsi="Arial" w:cs="Arial"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C8E5846"/>
    <w:multiLevelType w:val="hybridMultilevel"/>
    <w:tmpl w:val="8C58A866"/>
    <w:lvl w:ilvl="0" w:tplc="0104373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16F84E06"/>
    <w:multiLevelType w:val="hybridMultilevel"/>
    <w:tmpl w:val="11541F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DB53F0"/>
    <w:multiLevelType w:val="hybridMultilevel"/>
    <w:tmpl w:val="024C6F9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E9B4A40"/>
    <w:multiLevelType w:val="hybridMultilevel"/>
    <w:tmpl w:val="A8DA6824"/>
    <w:lvl w:ilvl="0" w:tplc="6ACC85FC">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30612973"/>
    <w:multiLevelType w:val="hybridMultilevel"/>
    <w:tmpl w:val="B394A81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32663802"/>
    <w:multiLevelType w:val="hybridMultilevel"/>
    <w:tmpl w:val="98706F36"/>
    <w:lvl w:ilvl="0" w:tplc="66C2A4BE">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386943C4"/>
    <w:multiLevelType w:val="hybridMultilevel"/>
    <w:tmpl w:val="E6806E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8B110E7"/>
    <w:multiLevelType w:val="hybridMultilevel"/>
    <w:tmpl w:val="597671D2"/>
    <w:lvl w:ilvl="0" w:tplc="9B9055D8">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A2603C9"/>
    <w:multiLevelType w:val="hybridMultilevel"/>
    <w:tmpl w:val="C8B0AC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4404129E"/>
    <w:multiLevelType w:val="hybridMultilevel"/>
    <w:tmpl w:val="5D089448"/>
    <w:lvl w:ilvl="0" w:tplc="9B9055D8">
      <w:numFmt w:val="bullet"/>
      <w:lvlText w:val="-"/>
      <w:lvlJc w:val="left"/>
      <w:pPr>
        <w:ind w:left="360" w:hanging="360"/>
      </w:pPr>
      <w:rPr>
        <w:rFonts w:ascii="Arial" w:eastAsia="Calibri" w:hAnsi="Arial" w:cs="Arial" w:hint="default"/>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531F0537"/>
    <w:multiLevelType w:val="hybridMultilevel"/>
    <w:tmpl w:val="D554B28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78E1BE2"/>
    <w:multiLevelType w:val="hybridMultilevel"/>
    <w:tmpl w:val="9B30150A"/>
    <w:lvl w:ilvl="0" w:tplc="EB022EB8">
      <w:start w:val="1"/>
      <w:numFmt w:val="lowerRoman"/>
      <w:lvlText w:val="%1)"/>
      <w:lvlJc w:val="left"/>
      <w:pPr>
        <w:ind w:left="-5088" w:hanging="720"/>
      </w:pPr>
      <w:rPr>
        <w:rFonts w:hint="default"/>
      </w:rPr>
    </w:lvl>
    <w:lvl w:ilvl="1" w:tplc="0C0A0019">
      <w:start w:val="1"/>
      <w:numFmt w:val="lowerLetter"/>
      <w:lvlText w:val="%2."/>
      <w:lvlJc w:val="left"/>
      <w:pPr>
        <w:ind w:left="-4728" w:hanging="360"/>
      </w:pPr>
    </w:lvl>
    <w:lvl w:ilvl="2" w:tplc="0C0A001B" w:tentative="1">
      <w:start w:val="1"/>
      <w:numFmt w:val="lowerRoman"/>
      <w:lvlText w:val="%3."/>
      <w:lvlJc w:val="right"/>
      <w:pPr>
        <w:ind w:left="-4008" w:hanging="180"/>
      </w:pPr>
    </w:lvl>
    <w:lvl w:ilvl="3" w:tplc="0C0A000F" w:tentative="1">
      <w:start w:val="1"/>
      <w:numFmt w:val="decimal"/>
      <w:lvlText w:val="%4."/>
      <w:lvlJc w:val="left"/>
      <w:pPr>
        <w:ind w:left="-3288" w:hanging="360"/>
      </w:pPr>
    </w:lvl>
    <w:lvl w:ilvl="4" w:tplc="0C0A0019" w:tentative="1">
      <w:start w:val="1"/>
      <w:numFmt w:val="lowerLetter"/>
      <w:lvlText w:val="%5."/>
      <w:lvlJc w:val="left"/>
      <w:pPr>
        <w:ind w:left="-2568" w:hanging="360"/>
      </w:pPr>
    </w:lvl>
    <w:lvl w:ilvl="5" w:tplc="0C0A001B" w:tentative="1">
      <w:start w:val="1"/>
      <w:numFmt w:val="lowerRoman"/>
      <w:lvlText w:val="%6."/>
      <w:lvlJc w:val="right"/>
      <w:pPr>
        <w:ind w:left="-1848" w:hanging="180"/>
      </w:pPr>
    </w:lvl>
    <w:lvl w:ilvl="6" w:tplc="0C0A000F" w:tentative="1">
      <w:start w:val="1"/>
      <w:numFmt w:val="decimal"/>
      <w:lvlText w:val="%7."/>
      <w:lvlJc w:val="left"/>
      <w:pPr>
        <w:ind w:left="-1128" w:hanging="360"/>
      </w:pPr>
    </w:lvl>
    <w:lvl w:ilvl="7" w:tplc="0C0A0019" w:tentative="1">
      <w:start w:val="1"/>
      <w:numFmt w:val="lowerLetter"/>
      <w:lvlText w:val="%8."/>
      <w:lvlJc w:val="left"/>
      <w:pPr>
        <w:ind w:left="-408" w:hanging="360"/>
      </w:pPr>
    </w:lvl>
    <w:lvl w:ilvl="8" w:tplc="0C0A001B" w:tentative="1">
      <w:start w:val="1"/>
      <w:numFmt w:val="lowerRoman"/>
      <w:lvlText w:val="%9."/>
      <w:lvlJc w:val="right"/>
      <w:pPr>
        <w:ind w:left="312" w:hanging="180"/>
      </w:pPr>
    </w:lvl>
  </w:abstractNum>
  <w:abstractNum w:abstractNumId="15">
    <w:nsid w:val="66D540BE"/>
    <w:multiLevelType w:val="hybridMultilevel"/>
    <w:tmpl w:val="12A472B6"/>
    <w:lvl w:ilvl="0" w:tplc="0A50091E">
      <w:start w:val="19"/>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678C440A"/>
    <w:multiLevelType w:val="hybridMultilevel"/>
    <w:tmpl w:val="49F8303E"/>
    <w:lvl w:ilvl="0" w:tplc="9934FD6E">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72E03F13"/>
    <w:multiLevelType w:val="hybridMultilevel"/>
    <w:tmpl w:val="6F0ECAF8"/>
    <w:lvl w:ilvl="0" w:tplc="DCFEA0DA">
      <w:start w:val="2012"/>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75F462BF"/>
    <w:multiLevelType w:val="hybridMultilevel"/>
    <w:tmpl w:val="9092A520"/>
    <w:lvl w:ilvl="0" w:tplc="729A0F9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17"/>
  </w:num>
  <w:num w:numId="3">
    <w:abstractNumId w:val="4"/>
  </w:num>
  <w:num w:numId="4">
    <w:abstractNumId w:val="8"/>
  </w:num>
  <w:num w:numId="5">
    <w:abstractNumId w:val="13"/>
  </w:num>
  <w:num w:numId="6">
    <w:abstractNumId w:val="9"/>
  </w:num>
  <w:num w:numId="7">
    <w:abstractNumId w:val="6"/>
  </w:num>
  <w:num w:numId="8">
    <w:abstractNumId w:val="11"/>
  </w:num>
  <w:num w:numId="9">
    <w:abstractNumId w:val="15"/>
  </w:num>
  <w:num w:numId="10">
    <w:abstractNumId w:val="3"/>
  </w:num>
  <w:num w:numId="11">
    <w:abstractNumId w:val="14"/>
  </w:num>
  <w:num w:numId="12">
    <w:abstractNumId w:val="2"/>
  </w:num>
  <w:num w:numId="13">
    <w:abstractNumId w:val="5"/>
  </w:num>
  <w:num w:numId="14">
    <w:abstractNumId w:val="7"/>
  </w:num>
  <w:num w:numId="15">
    <w:abstractNumId w:val="1"/>
  </w:num>
  <w:num w:numId="16">
    <w:abstractNumId w:val="0"/>
  </w:num>
  <w:num w:numId="17">
    <w:abstractNumId w:val="18"/>
  </w:num>
  <w:num w:numId="18">
    <w:abstractNumId w:val="10"/>
  </w:num>
  <w:num w:numId="19">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rsids>
    <w:rsidRoot w:val="004878EF"/>
    <w:rsid w:val="000011BD"/>
    <w:rsid w:val="00002444"/>
    <w:rsid w:val="00005210"/>
    <w:rsid w:val="0000751C"/>
    <w:rsid w:val="000103F7"/>
    <w:rsid w:val="00011FF4"/>
    <w:rsid w:val="00026812"/>
    <w:rsid w:val="00031699"/>
    <w:rsid w:val="0003239A"/>
    <w:rsid w:val="000375C3"/>
    <w:rsid w:val="00050FB2"/>
    <w:rsid w:val="00057A46"/>
    <w:rsid w:val="00074390"/>
    <w:rsid w:val="000814BD"/>
    <w:rsid w:val="00082BA1"/>
    <w:rsid w:val="00086C61"/>
    <w:rsid w:val="00086DBC"/>
    <w:rsid w:val="00087B37"/>
    <w:rsid w:val="0009446F"/>
    <w:rsid w:val="0009489A"/>
    <w:rsid w:val="00095532"/>
    <w:rsid w:val="000A2C2D"/>
    <w:rsid w:val="000A479F"/>
    <w:rsid w:val="000B6F8E"/>
    <w:rsid w:val="000C0A5D"/>
    <w:rsid w:val="000C2656"/>
    <w:rsid w:val="000C3302"/>
    <w:rsid w:val="000C3F04"/>
    <w:rsid w:val="000C64B2"/>
    <w:rsid w:val="000D098A"/>
    <w:rsid w:val="000D1FA7"/>
    <w:rsid w:val="000E6498"/>
    <w:rsid w:val="000F4142"/>
    <w:rsid w:val="000F5CCB"/>
    <w:rsid w:val="000F7F85"/>
    <w:rsid w:val="00102213"/>
    <w:rsid w:val="00103D7E"/>
    <w:rsid w:val="00111F87"/>
    <w:rsid w:val="001163C0"/>
    <w:rsid w:val="0011752F"/>
    <w:rsid w:val="0011792D"/>
    <w:rsid w:val="0012188E"/>
    <w:rsid w:val="00121CF6"/>
    <w:rsid w:val="00132DD3"/>
    <w:rsid w:val="001364B1"/>
    <w:rsid w:val="00141AFA"/>
    <w:rsid w:val="00151E33"/>
    <w:rsid w:val="001546D4"/>
    <w:rsid w:val="00154AC7"/>
    <w:rsid w:val="00155007"/>
    <w:rsid w:val="00160257"/>
    <w:rsid w:val="00164398"/>
    <w:rsid w:val="001649FB"/>
    <w:rsid w:val="00167041"/>
    <w:rsid w:val="00167514"/>
    <w:rsid w:val="00171247"/>
    <w:rsid w:val="001770A1"/>
    <w:rsid w:val="00177534"/>
    <w:rsid w:val="00180A24"/>
    <w:rsid w:val="001812C2"/>
    <w:rsid w:val="00182F38"/>
    <w:rsid w:val="001836C7"/>
    <w:rsid w:val="00185B41"/>
    <w:rsid w:val="00185D12"/>
    <w:rsid w:val="00186C5B"/>
    <w:rsid w:val="00193465"/>
    <w:rsid w:val="00194106"/>
    <w:rsid w:val="001966DA"/>
    <w:rsid w:val="00196E38"/>
    <w:rsid w:val="00196F9E"/>
    <w:rsid w:val="001A0F57"/>
    <w:rsid w:val="001A1F5E"/>
    <w:rsid w:val="001A4EDE"/>
    <w:rsid w:val="001A5858"/>
    <w:rsid w:val="001B0F6B"/>
    <w:rsid w:val="001B2CEE"/>
    <w:rsid w:val="001B793D"/>
    <w:rsid w:val="001C3A4E"/>
    <w:rsid w:val="001C5FAF"/>
    <w:rsid w:val="001D00B8"/>
    <w:rsid w:val="001D08AD"/>
    <w:rsid w:val="001D3E64"/>
    <w:rsid w:val="001D6E9A"/>
    <w:rsid w:val="001D73A9"/>
    <w:rsid w:val="001E1F0D"/>
    <w:rsid w:val="001E251F"/>
    <w:rsid w:val="001F0747"/>
    <w:rsid w:val="001F3616"/>
    <w:rsid w:val="001F4A48"/>
    <w:rsid w:val="001F5EF1"/>
    <w:rsid w:val="001F713D"/>
    <w:rsid w:val="00201A67"/>
    <w:rsid w:val="00205A79"/>
    <w:rsid w:val="0020774E"/>
    <w:rsid w:val="002172A7"/>
    <w:rsid w:val="00217E8D"/>
    <w:rsid w:val="00220A7A"/>
    <w:rsid w:val="002210ED"/>
    <w:rsid w:val="00225927"/>
    <w:rsid w:val="002316E2"/>
    <w:rsid w:val="00233737"/>
    <w:rsid w:val="00240017"/>
    <w:rsid w:val="00241E68"/>
    <w:rsid w:val="002428AB"/>
    <w:rsid w:val="00244789"/>
    <w:rsid w:val="002509DF"/>
    <w:rsid w:val="002514D1"/>
    <w:rsid w:val="0026097B"/>
    <w:rsid w:val="00263684"/>
    <w:rsid w:val="002708AA"/>
    <w:rsid w:val="00271123"/>
    <w:rsid w:val="0027627D"/>
    <w:rsid w:val="002770FD"/>
    <w:rsid w:val="00291BA3"/>
    <w:rsid w:val="00293308"/>
    <w:rsid w:val="00297248"/>
    <w:rsid w:val="00297DF4"/>
    <w:rsid w:val="002A035D"/>
    <w:rsid w:val="002A11A4"/>
    <w:rsid w:val="002A3345"/>
    <w:rsid w:val="002A3CB6"/>
    <w:rsid w:val="002A56AE"/>
    <w:rsid w:val="002B1C4C"/>
    <w:rsid w:val="002B27E8"/>
    <w:rsid w:val="002B285F"/>
    <w:rsid w:val="002B52B2"/>
    <w:rsid w:val="002B6081"/>
    <w:rsid w:val="002C08C1"/>
    <w:rsid w:val="002C0992"/>
    <w:rsid w:val="002C513A"/>
    <w:rsid w:val="002C75EC"/>
    <w:rsid w:val="002D1A74"/>
    <w:rsid w:val="002D1F10"/>
    <w:rsid w:val="002D3E2F"/>
    <w:rsid w:val="002D4655"/>
    <w:rsid w:val="002D49C8"/>
    <w:rsid w:val="002D4C34"/>
    <w:rsid w:val="002D67AA"/>
    <w:rsid w:val="002D7B14"/>
    <w:rsid w:val="002E0751"/>
    <w:rsid w:val="002E092B"/>
    <w:rsid w:val="002E3935"/>
    <w:rsid w:val="002E43BC"/>
    <w:rsid w:val="002E43FA"/>
    <w:rsid w:val="002E57B1"/>
    <w:rsid w:val="002F103F"/>
    <w:rsid w:val="002F4A27"/>
    <w:rsid w:val="002F5A9A"/>
    <w:rsid w:val="00301DC4"/>
    <w:rsid w:val="00302124"/>
    <w:rsid w:val="00302771"/>
    <w:rsid w:val="003030CA"/>
    <w:rsid w:val="003031EA"/>
    <w:rsid w:val="003053E4"/>
    <w:rsid w:val="00306F2C"/>
    <w:rsid w:val="00313DB4"/>
    <w:rsid w:val="003154DE"/>
    <w:rsid w:val="003232DD"/>
    <w:rsid w:val="00330136"/>
    <w:rsid w:val="00332CDB"/>
    <w:rsid w:val="00333B75"/>
    <w:rsid w:val="003352A4"/>
    <w:rsid w:val="00337688"/>
    <w:rsid w:val="00345AEC"/>
    <w:rsid w:val="00372C41"/>
    <w:rsid w:val="00375FDD"/>
    <w:rsid w:val="003765D8"/>
    <w:rsid w:val="0037723B"/>
    <w:rsid w:val="003800DB"/>
    <w:rsid w:val="00382BF7"/>
    <w:rsid w:val="00384CFD"/>
    <w:rsid w:val="00393D1E"/>
    <w:rsid w:val="003A02DE"/>
    <w:rsid w:val="003A1571"/>
    <w:rsid w:val="003A3DE1"/>
    <w:rsid w:val="003A5B1A"/>
    <w:rsid w:val="003A5CB8"/>
    <w:rsid w:val="003B1448"/>
    <w:rsid w:val="003B2FE1"/>
    <w:rsid w:val="003C26B2"/>
    <w:rsid w:val="003C50E7"/>
    <w:rsid w:val="003C5163"/>
    <w:rsid w:val="003C5BED"/>
    <w:rsid w:val="003C7932"/>
    <w:rsid w:val="003C7F8F"/>
    <w:rsid w:val="003D2B34"/>
    <w:rsid w:val="003D526F"/>
    <w:rsid w:val="003E2719"/>
    <w:rsid w:val="003E49EA"/>
    <w:rsid w:val="003E5B7B"/>
    <w:rsid w:val="003E7421"/>
    <w:rsid w:val="003F11BE"/>
    <w:rsid w:val="003F3A25"/>
    <w:rsid w:val="003F61F4"/>
    <w:rsid w:val="003F719D"/>
    <w:rsid w:val="004028A3"/>
    <w:rsid w:val="00402DF8"/>
    <w:rsid w:val="004042C6"/>
    <w:rsid w:val="00404A34"/>
    <w:rsid w:val="004050AB"/>
    <w:rsid w:val="00406020"/>
    <w:rsid w:val="0041094F"/>
    <w:rsid w:val="00411397"/>
    <w:rsid w:val="004123E9"/>
    <w:rsid w:val="00413623"/>
    <w:rsid w:val="004205E3"/>
    <w:rsid w:val="00421816"/>
    <w:rsid w:val="00424CFD"/>
    <w:rsid w:val="00426159"/>
    <w:rsid w:val="00426B4F"/>
    <w:rsid w:val="00434BE9"/>
    <w:rsid w:val="00434FE6"/>
    <w:rsid w:val="00435D8C"/>
    <w:rsid w:val="0044067E"/>
    <w:rsid w:val="00440694"/>
    <w:rsid w:val="00442DEB"/>
    <w:rsid w:val="00452361"/>
    <w:rsid w:val="004626CF"/>
    <w:rsid w:val="004653F0"/>
    <w:rsid w:val="00471384"/>
    <w:rsid w:val="00475637"/>
    <w:rsid w:val="00475846"/>
    <w:rsid w:val="00475E54"/>
    <w:rsid w:val="00482674"/>
    <w:rsid w:val="00483038"/>
    <w:rsid w:val="00484BFD"/>
    <w:rsid w:val="00485429"/>
    <w:rsid w:val="00485C0F"/>
    <w:rsid w:val="004878EF"/>
    <w:rsid w:val="004946E4"/>
    <w:rsid w:val="00494A00"/>
    <w:rsid w:val="004A029F"/>
    <w:rsid w:val="004A06C5"/>
    <w:rsid w:val="004A0968"/>
    <w:rsid w:val="004A27A1"/>
    <w:rsid w:val="004A29B6"/>
    <w:rsid w:val="004A4C5B"/>
    <w:rsid w:val="004A5A18"/>
    <w:rsid w:val="004B1D15"/>
    <w:rsid w:val="004B1FD1"/>
    <w:rsid w:val="004C02ED"/>
    <w:rsid w:val="004C401C"/>
    <w:rsid w:val="004C7A7D"/>
    <w:rsid w:val="004C7A85"/>
    <w:rsid w:val="004D2B74"/>
    <w:rsid w:val="004D3656"/>
    <w:rsid w:val="004D5B29"/>
    <w:rsid w:val="004D7882"/>
    <w:rsid w:val="004E234D"/>
    <w:rsid w:val="004E2E6E"/>
    <w:rsid w:val="004E31F1"/>
    <w:rsid w:val="004E3DD4"/>
    <w:rsid w:val="004E5BC7"/>
    <w:rsid w:val="004F4886"/>
    <w:rsid w:val="004F489C"/>
    <w:rsid w:val="004F7AEF"/>
    <w:rsid w:val="005038FD"/>
    <w:rsid w:val="00504D64"/>
    <w:rsid w:val="00511712"/>
    <w:rsid w:val="005119E4"/>
    <w:rsid w:val="005144F8"/>
    <w:rsid w:val="005147B3"/>
    <w:rsid w:val="00515630"/>
    <w:rsid w:val="0051701E"/>
    <w:rsid w:val="005178AE"/>
    <w:rsid w:val="00520E18"/>
    <w:rsid w:val="005219C4"/>
    <w:rsid w:val="005235EF"/>
    <w:rsid w:val="0052375F"/>
    <w:rsid w:val="00524D3C"/>
    <w:rsid w:val="00531167"/>
    <w:rsid w:val="00531867"/>
    <w:rsid w:val="00533245"/>
    <w:rsid w:val="00533CBD"/>
    <w:rsid w:val="005350FD"/>
    <w:rsid w:val="00535374"/>
    <w:rsid w:val="0053630B"/>
    <w:rsid w:val="00536391"/>
    <w:rsid w:val="00536E29"/>
    <w:rsid w:val="0053769F"/>
    <w:rsid w:val="00540E7F"/>
    <w:rsid w:val="00543F84"/>
    <w:rsid w:val="0054579F"/>
    <w:rsid w:val="005478F5"/>
    <w:rsid w:val="0055173C"/>
    <w:rsid w:val="0055302B"/>
    <w:rsid w:val="00560D17"/>
    <w:rsid w:val="0056220F"/>
    <w:rsid w:val="005626D0"/>
    <w:rsid w:val="00563C45"/>
    <w:rsid w:val="00566B98"/>
    <w:rsid w:val="00566C89"/>
    <w:rsid w:val="00567A57"/>
    <w:rsid w:val="005722E3"/>
    <w:rsid w:val="00572CA2"/>
    <w:rsid w:val="00576F1E"/>
    <w:rsid w:val="00580C50"/>
    <w:rsid w:val="00580D66"/>
    <w:rsid w:val="00585307"/>
    <w:rsid w:val="00586260"/>
    <w:rsid w:val="0059147A"/>
    <w:rsid w:val="005922E7"/>
    <w:rsid w:val="00592F38"/>
    <w:rsid w:val="005945CB"/>
    <w:rsid w:val="005A3301"/>
    <w:rsid w:val="005A457C"/>
    <w:rsid w:val="005A7CB7"/>
    <w:rsid w:val="005B1517"/>
    <w:rsid w:val="005B6B44"/>
    <w:rsid w:val="005B6DF5"/>
    <w:rsid w:val="005B7324"/>
    <w:rsid w:val="005B74DE"/>
    <w:rsid w:val="005C0AD7"/>
    <w:rsid w:val="005C3569"/>
    <w:rsid w:val="005C45EB"/>
    <w:rsid w:val="005C5427"/>
    <w:rsid w:val="005D0BDC"/>
    <w:rsid w:val="005D4CC7"/>
    <w:rsid w:val="005D59D4"/>
    <w:rsid w:val="005E44B4"/>
    <w:rsid w:val="005E516C"/>
    <w:rsid w:val="005E6485"/>
    <w:rsid w:val="005E7508"/>
    <w:rsid w:val="005F199F"/>
    <w:rsid w:val="005F3623"/>
    <w:rsid w:val="005F5F6D"/>
    <w:rsid w:val="005F7149"/>
    <w:rsid w:val="00604E79"/>
    <w:rsid w:val="0060790C"/>
    <w:rsid w:val="0061135F"/>
    <w:rsid w:val="00611E68"/>
    <w:rsid w:val="006122D4"/>
    <w:rsid w:val="00613EA6"/>
    <w:rsid w:val="00613FCF"/>
    <w:rsid w:val="006171D6"/>
    <w:rsid w:val="006207CD"/>
    <w:rsid w:val="006311F6"/>
    <w:rsid w:val="00631F97"/>
    <w:rsid w:val="0063552A"/>
    <w:rsid w:val="00637C75"/>
    <w:rsid w:val="00641623"/>
    <w:rsid w:val="006472C3"/>
    <w:rsid w:val="0064757E"/>
    <w:rsid w:val="006501D7"/>
    <w:rsid w:val="00653C9A"/>
    <w:rsid w:val="00654E58"/>
    <w:rsid w:val="00657A63"/>
    <w:rsid w:val="00667B43"/>
    <w:rsid w:val="00672106"/>
    <w:rsid w:val="00680C1A"/>
    <w:rsid w:val="006825D2"/>
    <w:rsid w:val="00683877"/>
    <w:rsid w:val="00683C4F"/>
    <w:rsid w:val="00685F5C"/>
    <w:rsid w:val="00685FDF"/>
    <w:rsid w:val="00687243"/>
    <w:rsid w:val="006911C7"/>
    <w:rsid w:val="00693FB6"/>
    <w:rsid w:val="00694665"/>
    <w:rsid w:val="00694AA3"/>
    <w:rsid w:val="0069612A"/>
    <w:rsid w:val="006A3072"/>
    <w:rsid w:val="006A61BE"/>
    <w:rsid w:val="006A7997"/>
    <w:rsid w:val="006B691E"/>
    <w:rsid w:val="006C249B"/>
    <w:rsid w:val="006C316F"/>
    <w:rsid w:val="006C38DD"/>
    <w:rsid w:val="006D38E0"/>
    <w:rsid w:val="006D4635"/>
    <w:rsid w:val="006D521A"/>
    <w:rsid w:val="006E48C6"/>
    <w:rsid w:val="006E7A53"/>
    <w:rsid w:val="006F2B9E"/>
    <w:rsid w:val="006F2C13"/>
    <w:rsid w:val="006F32FC"/>
    <w:rsid w:val="007023AB"/>
    <w:rsid w:val="007029C1"/>
    <w:rsid w:val="00705E87"/>
    <w:rsid w:val="00707E04"/>
    <w:rsid w:val="00710C9F"/>
    <w:rsid w:val="00712601"/>
    <w:rsid w:val="007127A3"/>
    <w:rsid w:val="00722057"/>
    <w:rsid w:val="007238A9"/>
    <w:rsid w:val="007259CC"/>
    <w:rsid w:val="00727292"/>
    <w:rsid w:val="00730849"/>
    <w:rsid w:val="00732AF4"/>
    <w:rsid w:val="00732B41"/>
    <w:rsid w:val="00735599"/>
    <w:rsid w:val="007366C2"/>
    <w:rsid w:val="00754E33"/>
    <w:rsid w:val="00764608"/>
    <w:rsid w:val="007650F6"/>
    <w:rsid w:val="007728B9"/>
    <w:rsid w:val="007748E9"/>
    <w:rsid w:val="00774F20"/>
    <w:rsid w:val="007757F8"/>
    <w:rsid w:val="00775B7A"/>
    <w:rsid w:val="007760C3"/>
    <w:rsid w:val="007816D3"/>
    <w:rsid w:val="00792B9A"/>
    <w:rsid w:val="00796EA3"/>
    <w:rsid w:val="007A4090"/>
    <w:rsid w:val="007B069B"/>
    <w:rsid w:val="007B25A9"/>
    <w:rsid w:val="007B5B87"/>
    <w:rsid w:val="007B6A4F"/>
    <w:rsid w:val="007B77CE"/>
    <w:rsid w:val="007B798B"/>
    <w:rsid w:val="007C7015"/>
    <w:rsid w:val="007D21F7"/>
    <w:rsid w:val="007D246C"/>
    <w:rsid w:val="007D5857"/>
    <w:rsid w:val="007D5B9C"/>
    <w:rsid w:val="007E1A26"/>
    <w:rsid w:val="007E4964"/>
    <w:rsid w:val="007F01E4"/>
    <w:rsid w:val="007F0B83"/>
    <w:rsid w:val="007F2800"/>
    <w:rsid w:val="007F2D45"/>
    <w:rsid w:val="007F68EC"/>
    <w:rsid w:val="007F7E1A"/>
    <w:rsid w:val="00800C49"/>
    <w:rsid w:val="00804D8B"/>
    <w:rsid w:val="00806C13"/>
    <w:rsid w:val="00810924"/>
    <w:rsid w:val="00810B75"/>
    <w:rsid w:val="0081343C"/>
    <w:rsid w:val="00813CC3"/>
    <w:rsid w:val="00822861"/>
    <w:rsid w:val="008229B9"/>
    <w:rsid w:val="008324F5"/>
    <w:rsid w:val="0083283E"/>
    <w:rsid w:val="0084383F"/>
    <w:rsid w:val="008455ED"/>
    <w:rsid w:val="00850FCC"/>
    <w:rsid w:val="00853C73"/>
    <w:rsid w:val="00854500"/>
    <w:rsid w:val="00863969"/>
    <w:rsid w:val="00866BD1"/>
    <w:rsid w:val="00871D86"/>
    <w:rsid w:val="00882BA7"/>
    <w:rsid w:val="00883C5B"/>
    <w:rsid w:val="008846C0"/>
    <w:rsid w:val="008867F1"/>
    <w:rsid w:val="00886BE3"/>
    <w:rsid w:val="008922AF"/>
    <w:rsid w:val="008929EA"/>
    <w:rsid w:val="00892D71"/>
    <w:rsid w:val="008956EE"/>
    <w:rsid w:val="008A0524"/>
    <w:rsid w:val="008A0F41"/>
    <w:rsid w:val="008A2A26"/>
    <w:rsid w:val="008A3824"/>
    <w:rsid w:val="008A6E43"/>
    <w:rsid w:val="008B3A71"/>
    <w:rsid w:val="008B70C6"/>
    <w:rsid w:val="008C19FF"/>
    <w:rsid w:val="008C3CFB"/>
    <w:rsid w:val="008C4CC2"/>
    <w:rsid w:val="008C4F8E"/>
    <w:rsid w:val="008D01C4"/>
    <w:rsid w:val="008D3353"/>
    <w:rsid w:val="008D36DA"/>
    <w:rsid w:val="008D55A1"/>
    <w:rsid w:val="008E151F"/>
    <w:rsid w:val="008E1CBA"/>
    <w:rsid w:val="008E30F2"/>
    <w:rsid w:val="008E3451"/>
    <w:rsid w:val="008E4268"/>
    <w:rsid w:val="008E6345"/>
    <w:rsid w:val="008E6A2E"/>
    <w:rsid w:val="008F502F"/>
    <w:rsid w:val="008F5697"/>
    <w:rsid w:val="008F7528"/>
    <w:rsid w:val="00900342"/>
    <w:rsid w:val="00900F67"/>
    <w:rsid w:val="00902B8C"/>
    <w:rsid w:val="00903056"/>
    <w:rsid w:val="00907401"/>
    <w:rsid w:val="00907A47"/>
    <w:rsid w:val="00916A95"/>
    <w:rsid w:val="00916FBA"/>
    <w:rsid w:val="009200A3"/>
    <w:rsid w:val="00920F22"/>
    <w:rsid w:val="009212CB"/>
    <w:rsid w:val="00921C02"/>
    <w:rsid w:val="009273FF"/>
    <w:rsid w:val="00930A8F"/>
    <w:rsid w:val="00931CA5"/>
    <w:rsid w:val="00934B96"/>
    <w:rsid w:val="009365C7"/>
    <w:rsid w:val="00943AD5"/>
    <w:rsid w:val="00945BE1"/>
    <w:rsid w:val="009462A5"/>
    <w:rsid w:val="00950EBB"/>
    <w:rsid w:val="009547E0"/>
    <w:rsid w:val="00956235"/>
    <w:rsid w:val="009562F6"/>
    <w:rsid w:val="00960B26"/>
    <w:rsid w:val="00973233"/>
    <w:rsid w:val="009758AD"/>
    <w:rsid w:val="009819C6"/>
    <w:rsid w:val="00985FF9"/>
    <w:rsid w:val="00990E1F"/>
    <w:rsid w:val="00991DA1"/>
    <w:rsid w:val="009933B4"/>
    <w:rsid w:val="00993509"/>
    <w:rsid w:val="0099495B"/>
    <w:rsid w:val="00997E2D"/>
    <w:rsid w:val="00997E57"/>
    <w:rsid w:val="009A1F45"/>
    <w:rsid w:val="009A4274"/>
    <w:rsid w:val="009B22BE"/>
    <w:rsid w:val="009B56EB"/>
    <w:rsid w:val="009C0438"/>
    <w:rsid w:val="009D7009"/>
    <w:rsid w:val="009D7BA1"/>
    <w:rsid w:val="009E4EB8"/>
    <w:rsid w:val="009E515D"/>
    <w:rsid w:val="009E7A2C"/>
    <w:rsid w:val="009F1352"/>
    <w:rsid w:val="009F2003"/>
    <w:rsid w:val="009F3566"/>
    <w:rsid w:val="009F404D"/>
    <w:rsid w:val="009F42FA"/>
    <w:rsid w:val="009F55F4"/>
    <w:rsid w:val="009F5CDC"/>
    <w:rsid w:val="00A017C3"/>
    <w:rsid w:val="00A03183"/>
    <w:rsid w:val="00A06CA2"/>
    <w:rsid w:val="00A1194D"/>
    <w:rsid w:val="00A1437B"/>
    <w:rsid w:val="00A16745"/>
    <w:rsid w:val="00A23E6E"/>
    <w:rsid w:val="00A24923"/>
    <w:rsid w:val="00A3723B"/>
    <w:rsid w:val="00A450E0"/>
    <w:rsid w:val="00A5349A"/>
    <w:rsid w:val="00A53A59"/>
    <w:rsid w:val="00A5746F"/>
    <w:rsid w:val="00A60E51"/>
    <w:rsid w:val="00A61D5F"/>
    <w:rsid w:val="00A64FA6"/>
    <w:rsid w:val="00A65C96"/>
    <w:rsid w:val="00A67481"/>
    <w:rsid w:val="00A71CB8"/>
    <w:rsid w:val="00A742E1"/>
    <w:rsid w:val="00A761D4"/>
    <w:rsid w:val="00A808C1"/>
    <w:rsid w:val="00A80D44"/>
    <w:rsid w:val="00A84454"/>
    <w:rsid w:val="00A93840"/>
    <w:rsid w:val="00A94A9E"/>
    <w:rsid w:val="00A95253"/>
    <w:rsid w:val="00A95335"/>
    <w:rsid w:val="00A96D3F"/>
    <w:rsid w:val="00AA617D"/>
    <w:rsid w:val="00AA6BD7"/>
    <w:rsid w:val="00AB4A9C"/>
    <w:rsid w:val="00AB4C87"/>
    <w:rsid w:val="00AB5265"/>
    <w:rsid w:val="00AB76CC"/>
    <w:rsid w:val="00AC3AB1"/>
    <w:rsid w:val="00AC7414"/>
    <w:rsid w:val="00AC7481"/>
    <w:rsid w:val="00AC7D47"/>
    <w:rsid w:val="00AD0BC0"/>
    <w:rsid w:val="00AD386D"/>
    <w:rsid w:val="00AE0D0A"/>
    <w:rsid w:val="00AE4F08"/>
    <w:rsid w:val="00AE5401"/>
    <w:rsid w:val="00AF5C88"/>
    <w:rsid w:val="00AF5D7E"/>
    <w:rsid w:val="00AF6B7D"/>
    <w:rsid w:val="00B02904"/>
    <w:rsid w:val="00B030C0"/>
    <w:rsid w:val="00B05BB6"/>
    <w:rsid w:val="00B12052"/>
    <w:rsid w:val="00B12AA2"/>
    <w:rsid w:val="00B13CEB"/>
    <w:rsid w:val="00B20B14"/>
    <w:rsid w:val="00B21FBE"/>
    <w:rsid w:val="00B23EF8"/>
    <w:rsid w:val="00B25091"/>
    <w:rsid w:val="00B27562"/>
    <w:rsid w:val="00B30776"/>
    <w:rsid w:val="00B352F9"/>
    <w:rsid w:val="00B42549"/>
    <w:rsid w:val="00B42762"/>
    <w:rsid w:val="00B55213"/>
    <w:rsid w:val="00B56D81"/>
    <w:rsid w:val="00B6070D"/>
    <w:rsid w:val="00B60DE0"/>
    <w:rsid w:val="00B631D0"/>
    <w:rsid w:val="00B63726"/>
    <w:rsid w:val="00B66388"/>
    <w:rsid w:val="00B67162"/>
    <w:rsid w:val="00B73BBF"/>
    <w:rsid w:val="00B75277"/>
    <w:rsid w:val="00B76F37"/>
    <w:rsid w:val="00B84490"/>
    <w:rsid w:val="00B86583"/>
    <w:rsid w:val="00B86D47"/>
    <w:rsid w:val="00B87BFD"/>
    <w:rsid w:val="00B918CE"/>
    <w:rsid w:val="00B92D13"/>
    <w:rsid w:val="00B9511E"/>
    <w:rsid w:val="00BA0368"/>
    <w:rsid w:val="00BA0916"/>
    <w:rsid w:val="00BA0A6F"/>
    <w:rsid w:val="00BB2582"/>
    <w:rsid w:val="00BB2822"/>
    <w:rsid w:val="00BB7B3B"/>
    <w:rsid w:val="00BC269C"/>
    <w:rsid w:val="00BC44C3"/>
    <w:rsid w:val="00BD1D30"/>
    <w:rsid w:val="00BD2EBA"/>
    <w:rsid w:val="00BD71FD"/>
    <w:rsid w:val="00BE1928"/>
    <w:rsid w:val="00BE588D"/>
    <w:rsid w:val="00BE64F2"/>
    <w:rsid w:val="00BF0BB5"/>
    <w:rsid w:val="00BF3D6F"/>
    <w:rsid w:val="00BF7F7C"/>
    <w:rsid w:val="00C01187"/>
    <w:rsid w:val="00C06B07"/>
    <w:rsid w:val="00C10A4C"/>
    <w:rsid w:val="00C10BC1"/>
    <w:rsid w:val="00C15A39"/>
    <w:rsid w:val="00C20C19"/>
    <w:rsid w:val="00C27804"/>
    <w:rsid w:val="00C3038A"/>
    <w:rsid w:val="00C31A91"/>
    <w:rsid w:val="00C32839"/>
    <w:rsid w:val="00C34E62"/>
    <w:rsid w:val="00C35D60"/>
    <w:rsid w:val="00C378D9"/>
    <w:rsid w:val="00C37F12"/>
    <w:rsid w:val="00C429E5"/>
    <w:rsid w:val="00C44599"/>
    <w:rsid w:val="00C46D49"/>
    <w:rsid w:val="00C47F0A"/>
    <w:rsid w:val="00C50343"/>
    <w:rsid w:val="00C506BE"/>
    <w:rsid w:val="00C50D07"/>
    <w:rsid w:val="00C51671"/>
    <w:rsid w:val="00C53D85"/>
    <w:rsid w:val="00C5611E"/>
    <w:rsid w:val="00C60C88"/>
    <w:rsid w:val="00C700B3"/>
    <w:rsid w:val="00C7295E"/>
    <w:rsid w:val="00C777B9"/>
    <w:rsid w:val="00C81BB1"/>
    <w:rsid w:val="00C81C00"/>
    <w:rsid w:val="00C864CE"/>
    <w:rsid w:val="00C87259"/>
    <w:rsid w:val="00C92344"/>
    <w:rsid w:val="00C92544"/>
    <w:rsid w:val="00C95317"/>
    <w:rsid w:val="00C95D39"/>
    <w:rsid w:val="00CA3E6A"/>
    <w:rsid w:val="00CA4F2F"/>
    <w:rsid w:val="00CA513A"/>
    <w:rsid w:val="00CA5EAB"/>
    <w:rsid w:val="00CA6F51"/>
    <w:rsid w:val="00CA780C"/>
    <w:rsid w:val="00CB2FBC"/>
    <w:rsid w:val="00CB65B8"/>
    <w:rsid w:val="00CC0A4D"/>
    <w:rsid w:val="00CC2528"/>
    <w:rsid w:val="00CC27C4"/>
    <w:rsid w:val="00CC551A"/>
    <w:rsid w:val="00CD09D9"/>
    <w:rsid w:val="00CD0CB5"/>
    <w:rsid w:val="00CD0F58"/>
    <w:rsid w:val="00CD3203"/>
    <w:rsid w:val="00CD4382"/>
    <w:rsid w:val="00CD498D"/>
    <w:rsid w:val="00CD6042"/>
    <w:rsid w:val="00CD79E8"/>
    <w:rsid w:val="00CE0A0F"/>
    <w:rsid w:val="00CE2A42"/>
    <w:rsid w:val="00CE7FE7"/>
    <w:rsid w:val="00CF77F3"/>
    <w:rsid w:val="00D00A84"/>
    <w:rsid w:val="00D01D52"/>
    <w:rsid w:val="00D05A5F"/>
    <w:rsid w:val="00D06A6A"/>
    <w:rsid w:val="00D07D9A"/>
    <w:rsid w:val="00D147E7"/>
    <w:rsid w:val="00D1481B"/>
    <w:rsid w:val="00D148EA"/>
    <w:rsid w:val="00D15112"/>
    <w:rsid w:val="00D1621B"/>
    <w:rsid w:val="00D269FC"/>
    <w:rsid w:val="00D34FBA"/>
    <w:rsid w:val="00D36C13"/>
    <w:rsid w:val="00D375D2"/>
    <w:rsid w:val="00D3776B"/>
    <w:rsid w:val="00D37774"/>
    <w:rsid w:val="00D4210E"/>
    <w:rsid w:val="00D42A1F"/>
    <w:rsid w:val="00D458F3"/>
    <w:rsid w:val="00D472E5"/>
    <w:rsid w:val="00D51D02"/>
    <w:rsid w:val="00D52528"/>
    <w:rsid w:val="00D53A4E"/>
    <w:rsid w:val="00D53E78"/>
    <w:rsid w:val="00D55F5C"/>
    <w:rsid w:val="00D56EF7"/>
    <w:rsid w:val="00D57E98"/>
    <w:rsid w:val="00D606FA"/>
    <w:rsid w:val="00D60D68"/>
    <w:rsid w:val="00D7098C"/>
    <w:rsid w:val="00D7127C"/>
    <w:rsid w:val="00D734CF"/>
    <w:rsid w:val="00D735C8"/>
    <w:rsid w:val="00D753EE"/>
    <w:rsid w:val="00D81902"/>
    <w:rsid w:val="00D839F0"/>
    <w:rsid w:val="00D86758"/>
    <w:rsid w:val="00D86B34"/>
    <w:rsid w:val="00D90DFA"/>
    <w:rsid w:val="00D927A8"/>
    <w:rsid w:val="00D92EBD"/>
    <w:rsid w:val="00D964DB"/>
    <w:rsid w:val="00DA0A64"/>
    <w:rsid w:val="00DA1C10"/>
    <w:rsid w:val="00DA1E1C"/>
    <w:rsid w:val="00DA3494"/>
    <w:rsid w:val="00DA3647"/>
    <w:rsid w:val="00DA3AE9"/>
    <w:rsid w:val="00DA3E1B"/>
    <w:rsid w:val="00DA6B5B"/>
    <w:rsid w:val="00DB2E17"/>
    <w:rsid w:val="00DB2FA8"/>
    <w:rsid w:val="00DB5677"/>
    <w:rsid w:val="00DB7E76"/>
    <w:rsid w:val="00DB7FC8"/>
    <w:rsid w:val="00DC0287"/>
    <w:rsid w:val="00DC190E"/>
    <w:rsid w:val="00DC2939"/>
    <w:rsid w:val="00DC565D"/>
    <w:rsid w:val="00DD0FC4"/>
    <w:rsid w:val="00DD107A"/>
    <w:rsid w:val="00DD155B"/>
    <w:rsid w:val="00DD1B5C"/>
    <w:rsid w:val="00DD21C5"/>
    <w:rsid w:val="00DD3DD0"/>
    <w:rsid w:val="00DD3F46"/>
    <w:rsid w:val="00DD4F6E"/>
    <w:rsid w:val="00DD7655"/>
    <w:rsid w:val="00DE5593"/>
    <w:rsid w:val="00DE7E0E"/>
    <w:rsid w:val="00DF4C36"/>
    <w:rsid w:val="00DF64EF"/>
    <w:rsid w:val="00E015D1"/>
    <w:rsid w:val="00E04249"/>
    <w:rsid w:val="00E05587"/>
    <w:rsid w:val="00E104FF"/>
    <w:rsid w:val="00E11373"/>
    <w:rsid w:val="00E1549F"/>
    <w:rsid w:val="00E15E10"/>
    <w:rsid w:val="00E163DD"/>
    <w:rsid w:val="00E16AF0"/>
    <w:rsid w:val="00E17D9E"/>
    <w:rsid w:val="00E23BA7"/>
    <w:rsid w:val="00E2452D"/>
    <w:rsid w:val="00E2614F"/>
    <w:rsid w:val="00E262CD"/>
    <w:rsid w:val="00E27FDA"/>
    <w:rsid w:val="00E30552"/>
    <w:rsid w:val="00E33FA7"/>
    <w:rsid w:val="00E40EE9"/>
    <w:rsid w:val="00E516B7"/>
    <w:rsid w:val="00E57F55"/>
    <w:rsid w:val="00E6796B"/>
    <w:rsid w:val="00E67C46"/>
    <w:rsid w:val="00E70AA9"/>
    <w:rsid w:val="00E74C0F"/>
    <w:rsid w:val="00E77C65"/>
    <w:rsid w:val="00E800E0"/>
    <w:rsid w:val="00E82308"/>
    <w:rsid w:val="00E82898"/>
    <w:rsid w:val="00E85909"/>
    <w:rsid w:val="00E87D80"/>
    <w:rsid w:val="00E94CA2"/>
    <w:rsid w:val="00E956AE"/>
    <w:rsid w:val="00E962B4"/>
    <w:rsid w:val="00E97B4C"/>
    <w:rsid w:val="00EA0BA8"/>
    <w:rsid w:val="00EA1C3B"/>
    <w:rsid w:val="00EA3E27"/>
    <w:rsid w:val="00EA54C2"/>
    <w:rsid w:val="00EB24C1"/>
    <w:rsid w:val="00EC05FD"/>
    <w:rsid w:val="00EC0A7D"/>
    <w:rsid w:val="00EC12C4"/>
    <w:rsid w:val="00EC6013"/>
    <w:rsid w:val="00EC6AF2"/>
    <w:rsid w:val="00ED0553"/>
    <w:rsid w:val="00ED220A"/>
    <w:rsid w:val="00ED287A"/>
    <w:rsid w:val="00EE1876"/>
    <w:rsid w:val="00EE51B0"/>
    <w:rsid w:val="00EE6804"/>
    <w:rsid w:val="00F11732"/>
    <w:rsid w:val="00F16C16"/>
    <w:rsid w:val="00F2039F"/>
    <w:rsid w:val="00F208D7"/>
    <w:rsid w:val="00F21FC2"/>
    <w:rsid w:val="00F250C0"/>
    <w:rsid w:val="00F30D49"/>
    <w:rsid w:val="00F325F0"/>
    <w:rsid w:val="00F32976"/>
    <w:rsid w:val="00F33B9F"/>
    <w:rsid w:val="00F3546B"/>
    <w:rsid w:val="00F410C4"/>
    <w:rsid w:val="00F44227"/>
    <w:rsid w:val="00F50276"/>
    <w:rsid w:val="00F50D6B"/>
    <w:rsid w:val="00F5135D"/>
    <w:rsid w:val="00F51480"/>
    <w:rsid w:val="00F5582F"/>
    <w:rsid w:val="00F60B5F"/>
    <w:rsid w:val="00F6115C"/>
    <w:rsid w:val="00F619A6"/>
    <w:rsid w:val="00F63639"/>
    <w:rsid w:val="00F64842"/>
    <w:rsid w:val="00F64A3B"/>
    <w:rsid w:val="00F64DA6"/>
    <w:rsid w:val="00F70218"/>
    <w:rsid w:val="00F72932"/>
    <w:rsid w:val="00F80FB4"/>
    <w:rsid w:val="00F8415B"/>
    <w:rsid w:val="00F94F69"/>
    <w:rsid w:val="00FA131A"/>
    <w:rsid w:val="00FA7E96"/>
    <w:rsid w:val="00FB09DD"/>
    <w:rsid w:val="00FB2AF7"/>
    <w:rsid w:val="00FB367D"/>
    <w:rsid w:val="00FB4D74"/>
    <w:rsid w:val="00FB5B0E"/>
    <w:rsid w:val="00FB5D96"/>
    <w:rsid w:val="00FC6BF8"/>
    <w:rsid w:val="00FD1CAC"/>
    <w:rsid w:val="00FD240B"/>
    <w:rsid w:val="00FD3ADB"/>
    <w:rsid w:val="00FD5D31"/>
    <w:rsid w:val="00FD692B"/>
    <w:rsid w:val="00FE173F"/>
    <w:rsid w:val="00FE17D2"/>
    <w:rsid w:val="00FE2D40"/>
    <w:rsid w:val="00FE4D47"/>
    <w:rsid w:val="00FF0F0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E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235EF"/>
    <w:pPr>
      <w:ind w:left="720"/>
      <w:contextualSpacing/>
    </w:pPr>
  </w:style>
  <w:style w:type="character" w:styleId="Hipervnculo">
    <w:name w:val="Hyperlink"/>
    <w:basedOn w:val="Fuentedeprrafopredeter"/>
    <w:uiPriority w:val="99"/>
    <w:unhideWhenUsed/>
    <w:rsid w:val="000D098A"/>
    <w:rPr>
      <w:color w:val="0000FF" w:themeColor="hyperlink"/>
      <w:u w:val="single"/>
    </w:rPr>
  </w:style>
  <w:style w:type="paragraph" w:styleId="NormalWeb">
    <w:name w:val="Normal (Web)"/>
    <w:basedOn w:val="Normal"/>
    <w:unhideWhenUsed/>
    <w:rsid w:val="00CC551A"/>
    <w:pPr>
      <w:spacing w:before="100" w:beforeAutospacing="1" w:after="100" w:afterAutospacing="1"/>
      <w:jc w:val="both"/>
    </w:pPr>
    <w:rPr>
      <w:rFonts w:ascii="Arial" w:hAnsi="Arial" w:cs="Arial"/>
      <w:color w:val="000000"/>
      <w:sz w:val="20"/>
      <w:szCs w:val="20"/>
    </w:rPr>
  </w:style>
  <w:style w:type="character" w:styleId="Hipervnculovisitado">
    <w:name w:val="FollowedHyperlink"/>
    <w:basedOn w:val="Fuentedeprrafopredeter"/>
    <w:uiPriority w:val="99"/>
    <w:semiHidden/>
    <w:unhideWhenUsed/>
    <w:rsid w:val="0054579F"/>
    <w:rPr>
      <w:color w:val="800080" w:themeColor="followedHyperlink"/>
      <w:u w:val="single"/>
    </w:rPr>
  </w:style>
  <w:style w:type="table" w:styleId="Tablaconcuadrcula">
    <w:name w:val="Table Grid"/>
    <w:basedOn w:val="Tablanormal"/>
    <w:locked/>
    <w:rsid w:val="002770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7E2D"/>
    <w:pPr>
      <w:widowControl w:val="0"/>
      <w:autoSpaceDE w:val="0"/>
      <w:autoSpaceDN w:val="0"/>
      <w:adjustRightInd w:val="0"/>
    </w:pPr>
    <w:rPr>
      <w:rFonts w:ascii="Arial MT" w:eastAsia="Times New Roman" w:hAnsi="Arial MT" w:cs="Arial MT"/>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PE" w:eastAsia="es-P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E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235EF"/>
    <w:pPr>
      <w:ind w:left="720"/>
      <w:contextualSpacing/>
    </w:pPr>
  </w:style>
</w:styles>
</file>

<file path=word/webSettings.xml><?xml version="1.0" encoding="utf-8"?>
<w:webSettings xmlns:r="http://schemas.openxmlformats.org/officeDocument/2006/relationships" xmlns:w="http://schemas.openxmlformats.org/wordprocessingml/2006/main">
  <w:divs>
    <w:div w:id="70742764">
      <w:bodyDiv w:val="1"/>
      <w:marLeft w:val="0"/>
      <w:marRight w:val="0"/>
      <w:marTop w:val="0"/>
      <w:marBottom w:val="0"/>
      <w:divBdr>
        <w:top w:val="none" w:sz="0" w:space="0" w:color="auto"/>
        <w:left w:val="none" w:sz="0" w:space="0" w:color="auto"/>
        <w:bottom w:val="none" w:sz="0" w:space="0" w:color="auto"/>
        <w:right w:val="none" w:sz="0" w:space="0" w:color="auto"/>
      </w:divBdr>
    </w:div>
    <w:div w:id="7541290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lperuano.com.pe/edic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f.gob.pe/"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A61E2-0440-4EC9-BF94-9C9E177D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TotalTime>
  <Pages>5</Pages>
  <Words>1075</Words>
  <Characters>6255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REPORTE DE NORMAS LEGALES</vt:lpstr>
    </vt:vector>
  </TitlesOfParts>
  <Company>sbn</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 DE NORMAS LEGALES</dc:title>
  <dc:creator>jotiniano</dc:creator>
  <cp:lastModifiedBy>agutierrez</cp:lastModifiedBy>
  <cp:revision>706</cp:revision>
  <cp:lastPrinted>2014-03-03T15:42:00Z</cp:lastPrinted>
  <dcterms:created xsi:type="dcterms:W3CDTF">2014-01-10T14:00:00Z</dcterms:created>
  <dcterms:modified xsi:type="dcterms:W3CDTF">2014-03-04T17:37:00Z</dcterms:modified>
</cp:coreProperties>
</file>